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1210/2016 vom 7. November 2016</w:t>
      </w:r>
    </w:p>
    <w:p>
      <w:r>
        <w:t>Bundesgericht, 2016-11-07, FR</w:t>
      </w:r>
    </w:p>
    <w:p>
      <w:r>
        <w:rPr>
          <w:b/>
        </w:rPr>
        <w:t xml:space="preserve">Quelle: </w:t>
      </w:r>
      <w:r>
        <w:t>https://mcp.opencaselaw.ch/entscheid/bger_6B_1210_2016</w:t>
      </w:r>
    </w:p>
    <w:p>
      <w:r>
        <w:t>FR: TF 6B 1210/2016 du 7 novembre 2016</w:t>
      </w:r>
    </w:p>
    <w:p>
      <w:r>
        <w:t>IT: TF 6B 1210/2016 del 7 novembre 2016</w:t>
      </w:r>
    </w:p>
    <w:p>
      <w:pPr>
        <w:pStyle w:val="Heading2"/>
      </w:pPr>
      <w:r>
        <w:t>Regeste</w:t>
      </w:r>
    </w:p>
    <w:p>
      <w:r>
        <w:t>Non-entrée en matière (calomnie, diffamation); irrecevabilité formelle du recours en matière pénale | Procédure pénale</w:t>
      </w:r>
    </w:p>
    <w:p>
      <w:pPr>
        <w:pStyle w:val="Heading2"/>
      </w:pPr>
      <w:r>
        <w:t>Erwägungen</w:t>
      </w:r>
    </w:p>
    <w:p>
      <w:r>
        <w:rPr>
          <w:b/>
        </w:rPr>
        <w:t>E. 1</w:t>
      </w:r>
    </w:p>
    <w:p>
      <w:r>
        <w:t>Par arrêt du 26 septembre 2016, la Chambre pénale du Tribunal cantonal fribourgeois a déclaré irrecevable, faute de motivation, le recours formé par X.________ contre l'ordonnance de non-entrée en matière rendue le 16 juin 2016 par le Ministère public fribourgeois. Par courrier du 22 octobre 2016, X.________ forme un recours contre l'arrêt du 26 septembre 2016, tendant à ce qu'une enquête soit effectuée sur les faits qu'il a dénoncés.</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134 II 244 consid. 2.1 p. 245). En l'occurrence, X.________ se borne à répéter brièvement les faits dont il se plaint et à demander qu'une enquête soit effectuée à cet égard. Il ne démontre pas en quoi le prononcé d'irrecevabilité violerait le droit et ne formule pas de conclusions formelles. Faute de satisfaire aux exigences de motivation précitées, son recours doit être écarté en application de l' art. 108 al. 1 let. a et b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