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120/2012 vom 12. März 2012</w:t>
      </w:r>
    </w:p>
    <w:p>
      <w:r>
        <w:t>Bundesgericht, 2012-03-12, DE</w:t>
      </w:r>
    </w:p>
    <w:p>
      <w:r>
        <w:rPr>
          <w:b/>
        </w:rPr>
        <w:t xml:space="preserve">Quelle: </w:t>
      </w:r>
      <w:r>
        <w:t>https://mcp.opencaselaw.ch/entscheid/bger_6B_120_2012</w:t>
      </w:r>
    </w:p>
    <w:p>
      <w:r>
        <w:t>FR: TF 6B 120/2012 du 12 mars 2012</w:t>
      </w:r>
    </w:p>
    <w:p>
      <w:r>
        <w:t>IT: TF 6B 120/2012 del 12 marzo 2012</w:t>
      </w:r>
    </w:p>
    <w:p>
      <w:pPr>
        <w:pStyle w:val="Heading2"/>
      </w:pPr>
      <w:r>
        <w:t>Regeste</w:t>
      </w:r>
    </w:p>
    <w:p>
      <w:r>
        <w:t>Verspätete Einreichung der Berufungsanmeldung (Art. 399 Abs. 1 StPO) | Strafprozess</w:t>
      </w:r>
    </w:p>
    <w:p>
      <w:pPr>
        <w:pStyle w:val="Heading2"/>
      </w:pPr>
      <w:r>
        <w:t>Erwägungen</w:t>
      </w:r>
    </w:p>
    <w:p>
      <w:r>
        <w:rPr>
          <w:b/>
        </w:rPr>
        <w:t>E. 1</w:t>
      </w:r>
    </w:p>
    <w:p>
      <w:r>
        <w:t>Im angefochtenen Entscheid wurde auf eine Berufung nicht eingetreten, weil die Anmeldung des Rechtsmittels verspätet war. Der Beschwerdeführer anerkennt vor Bundesgericht, dass er sich "wahrscheinlich ... im Datum geirrt" habe. Dass die Vorinstanz bei dieser Sachlage mit dem Nichteintreten gegen das Recht im Sinne von Art. 95 BGG verstossen hätte, macht der Beschwerdeführer nicht geltend. Die Eingabe beschränkt sich auf Ausführungen zur Sache, die im Rahmen einer Beschwerde gegen einen Nichteintretensentscheid unzulässig sind. Darauf ist im Verfahren nach Art. 108 BGG nicht einzutreten.</w:t>
      </w:r>
    </w:p>
    <w:p>
      <w:r>
        <w:rPr>
          <w:b/>
        </w:rPr>
        <w:t>E. 2</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(vgl. act. 6)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