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6B_1209/2016 vom 13. Januar 2017</w:t>
      </w:r>
    </w:p>
    <w:p>
      <w:r>
        <w:t>Bundesgericht, 2017-01-13, DE</w:t>
      </w:r>
    </w:p>
    <w:p>
      <w:r>
        <w:rPr>
          <w:b/>
        </w:rPr>
        <w:t xml:space="preserve">Quelle: </w:t>
      </w:r>
      <w:r>
        <w:t>https://mcp.opencaselaw.ch/entscheid/bger_6B_1209_2016</w:t>
      </w:r>
    </w:p>
    <w:p>
      <w:r>
        <w:t>FR: TF 6B_1209/2016 du 13 janvier 2017</w:t>
      </w:r>
    </w:p>
    <w:p>
      <w:r>
        <w:t>IT: TF 6B_1209/2016 del 13 gennaio 2017</w:t>
      </w:r>
    </w:p>
    <w:p>
      <w:pPr>
        <w:pStyle w:val="Heading2"/>
      </w:pPr>
      <w:r>
        <w:t>Erwägungen</w:t>
      </w:r>
    </w:p>
    <w:p>
      <w:r>
        <w:rPr>
          <w:b/>
        </w:rPr>
        <w:t>E. 1</w:t>
      </w:r>
    </w:p>
    <w:p>
      <w:r>
        <w:t>Mit Blick auf den Ausgang des Verfahrens bleibt ohne Bedeutung, ob auf die vom früheren Rechtsvertreter verfasste Beschwerdeschrift und die entsprechenden Anträge respektive auf die vom Beschwerdeführer persönlich verfasste Beschwerde abzustellen ist (vgl. act. 17).</w:t>
      </w:r>
    </w:p>
    <w:p>
      <w:r>
        <w:rPr>
          <w:b/>
        </w:rPr>
        <w:t>E. 1.1</w:t>
      </w:r>
    </w:p>
    <w:p>
      <w:r>
        <w:t>Der Beschwerdeführer wendet sich gegen die vorinstanzliche Sachverhaltsfeststellung (Beschwerde S. 4 ff.).</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1.1.2</w:t>
      </w:r>
    </w:p>
    <w:p>
      <w:r>
        <w:t>Der Beschwerdeführer übt mehrfach Kritik an der Beweiswürdigung des Regionalgerichts. Damit ist er nicht zu hören. Anfechtungsobjekt bildet einzig das kantonal letztinstanzliche Urteil der Vorinstanz ( Art. 80 Abs. 1 BGG ).</w:t>
      </w:r>
    </w:p>
    <w:p>
      <w:r>
        <w:t>Zudem macht der Beschwerdeführer nicht geltend, die vorinstanzliche Sachverhaltsfeststellung sei offensichtlich unrichtig oder beruhe auf einer Rechtsverletzung im Sinne von Art. 95 BGG . Selbst wenn der Beschwerdeführer solches behauptete, wäre auf die Beschwerde nicht einzutreten. Er begnügt sich damit, seine Ausführungen anlässlich der Berufungsverhandlung zu wiederholen. Mit den Erwägungen im angefochtenen Entscheid setzt er sich nicht ansatzweise auseinander. Damit stellt er der Beweiswürdigung der Vorinstanz einzig seine eigene Sicht der Dinge gegenüber. Seine Argumentation geht über weite Strecken nicht über allgemeine Ausführungen zur Beweiswürdigung hinaus. Soweit der Beschwerdeführer überhaupt auf die Sache eingeht, erschöpft sich dies in einer pauschalen, nicht substanziierten und letztlich unklaren Kritik am angefochtenen Entscheid. Damit vermag er von vornherein keine willkürliche Beweiswürdigung darzutun. Dies trifft beispielsweise auf die Rüge zu, die widerspruchsfreien Aussagen der Opfer seien als "Lügensignal" einzustufen und "unglaubwürdige Schutzbehauptungen". Die Opfer hätten sich gekannt und ihre Aussagen abgesprochen. Solche allgemein gehaltenen Einwände ohne nähere Auseinandersetzung mit den vorinstanzlichen Erwägungen sind ungenügend.</w:t>
      </w:r>
    </w:p>
    <w:p>
      <w:r>
        <w:t>Soweit der Beschwerdeführer schliesslich wie bereits im kantonalen Verfahren geltend macht, er habe sich in einer Notwehrsituation befunden und mit Abwehrwillen gehandelt, geht sein Vorbringen an der Sache vorbei. Die Vorinstanz stellt fest, dass ein Angriff der Opfer im Gange war und der Beschwerdeführer sich verteidigen wollte. Hingegen erwägt die Vorinstanz, der Beschwerdeführer habe die Grenzen der erlaubten Notwehr überschritten, worauf der Beschwerdeführer nicht näher eingeht.</w:t>
      </w:r>
    </w:p>
    <w:p>
      <w:r>
        <w:t>Insgesamt sind die Ausführungen des Beschwerdeführers nicht geeignet, Willkür darzutun, und sie genügen den Begründungsanforderungen gemäss Art. 106 Abs. 2 BGG nicht.</w:t>
      </w:r>
    </w:p>
    <w:p>
      <w:r>
        <w:rPr>
          <w:b/>
        </w:rPr>
        <w:t>E. 1.2</w:t>
      </w:r>
    </w:p>
    <w:p>
      <w:r>
        <w:t>Ebenso wenig ist auf die Beschwerde einzutreten, soweit der Beschwerdeführer die Entlassung aus der Sicherheitshaft beantragt und sich gegen die therapeutische Massnahme wendet (Beschwerde S. 2). Eine entsprechende Begründung fehlt gänzlich ( Art. 42 Abs. 2 BGG ).</w:t>
      </w:r>
    </w:p>
    <w:p>
      <w:r>
        <w:rPr>
          <w:b/>
        </w:rPr>
        <w:t>E. 1.3</w:t>
      </w:r>
    </w:p>
    <w:p>
      <w:r>
        <w:t>Der Beschwerdeführer gelangt zudem mit persönlich verfasster Eingabe innert Beschwerdefrist ans Bundesgericht. Auch hier fehlt eine inhaltliche Auseinandersetzung mit dem vorinstanzlichen Entscheid. Seine Kritik fällt pauschal aus ("Dieser Prozess ist ein hervorragendes Kunststück der kantonalen Justizkultur [...]"; "Alle Tatsachen [...] sind übersehen worden") und ist teilweise offensichtlich unbegründet. Weder blieben die Opfer der erst- und vorinstanzlichen Hauptverhandlung unentschuldigt fern (sondern nahmen daran teil oder wurden vom persönlichen Erscheinen dispensiert), noch wurde anlässlich der vorinstanzlichen Verhandlung auf ein Protokoll verzichtet. Die Beschwerde genügt den Begründungsanforderungen von Art. 42 Abs. 2 und Art. 106 Abs. 2 BGG nicht. Nicht zu hören ist der Beschwerdeführer schliesslich mit seiner Eingabe vom 8. November 2016, worin er auf eine frühere Stellungnahme hinweist (act. 17). Zum einen wurde jene nach der 30-tägigen Frist im Sinne von Art. 100 Abs. 1 BGG zur Einreichung einer Beschwerde und deshalb verspätet nachgereicht (vgl. Urteil 2C_66/2013 vom 7. Mai 2013 E. 1.2 mit Hinweisen). Zum andern muss die Begründung der Beschwerde in der Beschwerdeschrift selbst enthalten sein, und der blosse Verweis auf Ausführungen in anderen Rechtsschriften oder auf die Akten reicht nicht aus ( BGE 141 V 416 E. 4 S. 421; 138 IV 47 E. 2.8.1 S. 54; je mit Hinweisen).</w:t>
      </w:r>
    </w:p>
    <w:p>
      <w:r>
        <w:rPr>
          <w:b/>
        </w:rPr>
        <w:t>E. 2</w:t>
      </w:r>
    </w:p>
    <w:p>
      <w:r>
        <w:t>Auf die Beschwerde ist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