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6B_1209/2013 vom 26. Juni 2014</w:t>
      </w:r>
    </w:p>
    <w:p>
      <w:r>
        <w:t>Bundesgericht, 2014-06-26, DE</w:t>
      </w:r>
    </w:p>
    <w:p>
      <w:r>
        <w:rPr>
          <w:b/>
        </w:rPr>
        <w:t xml:space="preserve">Quelle: </w:t>
      </w:r>
      <w:r>
        <w:t>https://mcp.opencaselaw.ch/entscheid/bger_6B_1209_2013</w:t>
      </w:r>
    </w:p>
    <w:p>
      <w:r>
        <w:t>FR: TF 6B_1209/2013 du 26 juin 2014</w:t>
      </w:r>
    </w:p>
    <w:p>
      <w:r>
        <w:t>IT: TF 6B_1209/2013 del 26 giugno 2014</w:t>
      </w:r>
    </w:p>
    <w:p>
      <w:pPr>
        <w:pStyle w:val="Heading2"/>
      </w:pPr>
      <w:r>
        <w:t>Erwägungen</w:t>
      </w:r>
    </w:p>
    <w:p>
      <w:r>
        <w:rPr>
          <w:b/>
        </w:rPr>
        <w:t>E. 1.1</w:t>
      </w:r>
    </w:p>
    <w:p>
      <w:r>
        <w:t>Die Vorinstanz stellt in tatsächlicher Hinsicht fest, dass der Mähdrescher mit einer Geschwindigkeit von 15 km/h fuhr. Der Beschwerdeführer sei diesem mit einem Abstand von 10 Metern gefolgt. Als er mit einer Geschwindigkeit von 65 km/h zum Überholen ansetzte, sei er 162,9 Meter von einem Baum entfernt gewesen, welcher ihm die weitere Sicht verdeckte. C.________ sei ihm mit einer Geschwindigkeit von 90 km/h entgegengekommen (Urteil, S. 10 ff.).</w:t>
      </w:r>
    </w:p>
    <w:p>
      <w:r>
        <w:t>Die Vorinstanz erwägt, das Überholmanöver hätte - wenn der Beschwerdeführer es zu Ende geführt hätte - 2,66 Sekunden gedauert und einen Weg von 48 Metern beansprucht. In dieser Zeit (zuzüglich einer Sicherheitsmarge von 2 Sekunden) hätte C.________ 116,5 Meter zurückgelegt. Um den Mähdrescher korrekt zu überholen, wäre eine überblickbare Strecke von mindestens 164,5 Metern erforderlich gewesen. Es seien jedoch nur 162,9 Meter zur Verfügung gestanden, weshalb der Beschwerdeführer das Manöver nicht ohne Behinderung des Gegenverkehrs hätte durchführen können (Urteil, S. 14). Dass C.________ bremsen musste, zeige, dass das Überholmanöver nicht gefahrlos möglich war. Der Beschwerdeführer habe in einer unübersichtlichen Kurve überholt und den entgegenkommenden C.________ behindert, welcher vorsichtshalber eine Vollbremsung eingeleitet habe, um eine Kollision zu verhindern. Der Beschwerdeführer habe andere Verkehrsteilnehmer konkret gefährdet und den Tatbestand der groben Verletzung der Verkehrsregeln im Sinne von aArt. 90 Ziff. 2 SVG i.V.m. Art. 34 Abs. 3 und 35 Abs. 4 SVG erfüllt (Urteil, S. 16 f.).</w:t>
      </w:r>
    </w:p>
    <w:p>
      <w:r>
        <w:rPr>
          <w:b/>
        </w:rPr>
        <w:t>E. 1.2</w:t>
      </w:r>
    </w:p>
    <w:p>
      <w:r>
        <w:t>Der Beschwerdeführer bringt vor, die von ihm überblickbare Strecke sei um lediglich 1,6 Meter zu kurz gewesen, um das Überholmanöver korrekt abschliessen zu können. Die von der Vorinstanz geforderte Sicherheitsmarge von 2 Sekunden habe er demzufolge um 0,037 Sekunden unterschritten. C.________ habe diese geringfügige Unterschreitung des notwendigen Überholweges nicht feststellen können und er (der Beschwerdeführer) habe das Manöver sofort abgebrochen und sich wieder hinter dem Mähdrescher eingereiht. Die Vorinstanz nehme zu Unrecht an, dass C.________ bremste, um eine Kollision mit dem überholenden Fahrzeug zu vermeiden. Vielmehr sei dies darauf zurückzuführen, dass C.________ den über die Mitte der Fahrbahn hinausragenden Mähdrescher erblickte (Beschwerde, S. 6 f.). Der Beschwerdeführer bestreitet, die Verkehrssicherheit gefährdet zu haben. Seine Verurteilung wegen grober Verletzung der Verkehrsregeln verletze Bundesrecht (Beschwerde, S. 8 f.).</w:t>
      </w:r>
    </w:p>
    <w:p>
      <w:r>
        <w:rPr>
          <w:b/>
        </w:rPr>
        <w:t>E. 1.3.1</w:t>
      </w:r>
    </w:p>
    <w:p>
      <w:r>
        <w:t>Überholen ist nur gestattet, wenn der nötige Raum übersichtlich und frei ist und der Gegenverkehr nicht behindert wird ( Art. 35 Abs. 2 SVG ). Ferner darf nicht "im Bereich von unübersichtlichen Kurven" überholt werden ( Art. 35 Abs. 4 SVG ; BGE 109 IV 134 E. 3). Der Überholende muss von Anfang an die Gewissheit haben, sein Überholmanöver sicher und ohne Gefährdung Dritter abschliessen zu können. Nicht nur die für den Überholvorgang benötigte Strecke muss übersichtlich und frei sein, sondern zusätzlich jene, die ein entgegenkommendes Fahrzeug bis zu jenem Zeitpunkt zurücklegt, wo der Überholende die linke Strassenseite freigegeben haben wird ( BGE 121 IV 235 E. 1b mit Hinweisen). Erkennt der Überholende während des Überholmanövers, dass er es nicht gefahrlos zu Ende führen kann, so ist er verpflichtet, das Manöver abzubrechen und sich hinter dem zu Überholenden in den Verkehr einzufügen ( BGE 96 I 766 E. 7 mit Hinweisen).</w:t>
      </w:r>
    </w:p>
    <w:p>
      <w:r>
        <w:t>Nach aArt. 90 Ziff.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 BGE 131 IV 133 E. 3.2 mit Hinweisen).</w:t>
      </w:r>
    </w:p>
    <w:p>
      <w:r>
        <w:rPr>
          <w:b/>
        </w:rPr>
        <w:t>E. 1.3.2</w:t>
      </w:r>
    </w:p>
    <w:p>
      <w:r>
        <w:t>Dass die freie und überblickbare Strecke zu kurz war, um den Mähdrescher zu überholen, bestreitet der Beschwerdeführer nicht. Nicht zu beanstanden ist die Feststellung der Vorinstanz, wonach für ein vollständiges Überholmanöver 164,5 Meter notwendig gewesen wären und lediglich 162,9 Meter zur Verfügung standen. Der Beschwerdeführer konnte daher nicht von Anfang an die Gewissheit haben, das Überholmanöver sicher abschliessen zu können. Indem er anfing, den Mähdrescher zu überholen, verletzte er objektiv die in Art. 35 Abs. 2 und 4 SVG festgelegten Verkehrsregeln, was unangefochten ist.</w:t>
      </w:r>
    </w:p>
    <w:p>
      <w:r>
        <w:t>Ob die Verkehrsregelverletzung des Beschwerdeführers eine ernstliche Gefährdung anderer Verkehrsteilnehmer im Sinne von aArt. 90 Ziff. 2 SVG hervorrief, ist anhand der konkreten Situation zu beurteilen. Dies kann nicht ungeachtet des Umstandes erfolgen, dass der Beschwerdeführer das Überholmanöver im Sinne der vorerwähnten Rechtsprechung (siehe oben E. 1.3.1) abbrach und sich wieder hinter dem Mähdrescher einreihte. Dass der Lenker des entgegenkommenden Fahrzeugs bremsen musste, kann lediglich als Indiz für die Gefährlichkeit des Manövers des Beschwerdeführers gewertet werden, wenn dies objektiv erforderlich und insbesondere weiterhin notwendig war, nachdem der Beschwerdeführer sein Manöver abbrach.</w:t>
      </w:r>
    </w:p>
    <w:p>
      <w:r>
        <w:rPr>
          <w:b/>
        </w:rPr>
        <w:t>E. 1.3.3</w:t>
      </w:r>
    </w:p>
    <w:p>
      <w:r>
        <w:t>Die Vorinstanz stellt nicht fest, zu welchem Zeitpunkt der Beschwerdeführer das Manöver abbrach und wie gross der Abstand zu dem von C.________ gelenktem Automobil war. Ebenso wenig stellt sie fest, ob die von C.________ eingeleitete Vollbremsung aufgrund der konkreten Situation erforderlich war. Das angefochtene Urteil enthält diesbezüglich keine ausreichende Begründung ( Art. 112 Abs. 1 lit. b BGG ). Die Sache ist an die Vorinstanz zurückzuweisen. Nebst dem erwähnten Abstand zwischen den Fahrzeugen von C.________ und des Beschwerdeführers wird diese - um zu bestimmen, ob die Vollbremsung erforderlich war - feststellen müssen, wo die Kollision mit dem Mähdrescher stattfand, wie gross der Abstand zu dieser Stelle war, als der Beschwerdeführer sein Manöver aussetzte und wie viel Zeit der Mähdrescher benötigte, um dorthin zu gelangen.</w:t>
      </w:r>
    </w:p>
    <w:p>
      <w:r>
        <w:rPr>
          <w:b/>
        </w:rPr>
        <w:t>E. 2</w:t>
      </w:r>
    </w:p>
    <w:p>
      <w:r>
        <w:t>Das angefochtene Urteil ist aufzuheben und die Sache zu neuem Entscheid an die Vorinstanz zurückzuweisen. Das Gesuch um aufschiebende Wirkung wird gegenstandslos. Für das bundesgerichtliche Verfahren sind keine Kosten zu erheben ( Art. 66 Abs. 1 und 4 BGG ). Der Kanton Aargau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