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6B_1207/2020 vom 24. November 2020</w:t>
      </w:r>
    </w:p>
    <w:p>
      <w:r>
        <w:t>Bundesgericht, 2020-11-24, FR</w:t>
      </w:r>
    </w:p>
    <w:p>
      <w:r>
        <w:rPr>
          <w:b/>
        </w:rPr>
        <w:t xml:space="preserve">Quelle: </w:t>
      </w:r>
      <w:r>
        <w:t>https://mcp.opencaselaw.ch/entscheid/bger_6B_1207_2020</w:t>
      </w:r>
    </w:p>
    <w:p>
      <w:r>
        <w:t>FR: TF 6B_1207/2020 du 24 novembre 2020</w:t>
      </w:r>
    </w:p>
    <w:p>
      <w:r>
        <w:t>IT: TF 6B_1207/2020 del 24 novembre 2020</w:t>
      </w:r>
    </w:p>
    <w:p>
      <w:pPr>
        <w:pStyle w:val="Heading2"/>
      </w:pPr>
      <w:r>
        <w:t>Erwägungen</w:t>
      </w:r>
    </w:p>
    <w:p>
      <w:r>
        <w:rPr>
          <w:b/>
        </w:rPr>
        <w:t>E. 1</w:t>
      </w:r>
    </w:p>
    <w:p>
      <w:r>
        <w:t>Par arrêt du 15 octobre 2020, la Chambre pénale de recours de la Cour de justice de la République et canton de Genève a rejeté le recours formé par A.________ contre l'ordonnance rendue le 9 septembre 2020 par le Tribunal de police genevois par laquelle il a constaté l'irrecevabilité, pour cause de tardiveté, de l'opposition formée par le prénommé contre l'ordonnance pénale rendue le 11 juillet 2020 à son encontre.</w:t>
      </w:r>
    </w:p>
    <w:p>
      <w:r>
        <w:t>Par courrier du 17 octobre 2020, posté le 20 octobre 2020, A.________ forme un recours au Tribunal fédéral contre l'arrêt précité. Il a adressé deux autres courriers au Tribunal fédéral, l'un du 27 octobre 2020, posté le 2 novembre 2020, requérant la désignation d'un avocat d'office, et l'autre du 13 novembre 2020, posté le 18 novembre 2020, complétant son recours.</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Conformément à la jurisprudence, lorsqu'une personne est détenue, le délai est réputé observé si l'acte écrit est remis au gardien au plus tard le dernier jour utile, quand bien même ce dernier le transmet au Tribunal fédéral après l'échéance du délai (arrêts 6B_1378/2019 du 22 janvier 2020 consid. 2; 6B_286/2014 du 6 octobre 2014 consid. 1.2; 6B_9/2012 du 7 mai 2012 consid. 1.3, in RtiD 2013 I S. 117).</w:t>
      </w:r>
    </w:p>
    <w:p>
      <w:r>
        <w:t>En l'espèce, la décision cantonale a été notifiée au recourant le 16 octobre 2020. Le délai a commencé à courir le 17 octobre 2020 pour arriver à échéance le dimanche 15 novembre 2020. Le délai de recours a ainsi expiré le lundi suivant, soit le 16 novembre 2020. Les courriers datés des 17 et 27 octobre 2020 sont ainsi recevables. Quant à celui daté du 13 novembre 2020, posté postérieurement à l'échéance du délai, le point de savoir s'il a été remis avant l'échéance du délai au gardien de la prison peut demeurer indécis. En effet, même en tenant compte de cet écrit, le recours est irrecevable pour un autre motif.</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t>En l'occurrence, le recourant ne formule aucune conclusion. En outre, la cour cantonale a estimé que c'était à bon droit que le Tribunal de police avait déclaré l'opposition du recourant tardive. Celui-ci ne discute pas de cette question mais conteste sa condamnation. Ce faisant, le recourant discute uniquement le fond du litige et n'expose pas en quoi la cour cantonale aurait violé le droit en confirmant la tardiveté de son opposition. Insuffisamment motivé, son recours est irrecevable.</w:t>
      </w:r>
    </w:p>
    <w:p>
      <w:r>
        <w:rPr>
          <w:b/>
        </w:rPr>
        <w:t>E. 4</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6B_1156/2020 du 2 novembre 2020 consid. 4; 6B_1204/2019 du 14 novembre 2019 consid. 3; 6B_13/2015 du 11 février 2015 consid. 3 et les références citées). En l'espèce, le recourant ne paraît pas manifestement incapable de procéder au vu de ses écritures, si bien qu'il n'y a pas lieu de lui attribuer un défenseur au titre de l' art. 41 al. 1 LTF . Au surplus, le respect du délai de recours non prolongeable ainsi que l'exigence d'un examen des chances de succès contraignent le recourant à déposer une écriture en bonne et due forme avant qu'il soit statué sur l'assistance judiciaire selon l' art. 64 LTF (cf. BERNARD CORBOZ, Commentaire LTF, n° 38 ad art. 64 LTF ). La demande de désignation d'un avocat d'office et d'assistance judiciaire doit être rejetée, faute de chances de succès.</w:t>
      </w:r>
    </w:p>
    <w:p>
      <w:r>
        <w:rPr>
          <w:b/>
        </w:rPr>
        <w:t>E. 5</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