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6B_1206/2022 vom 3. November 2022</w:t>
      </w:r>
    </w:p>
    <w:p>
      <w:r>
        <w:t>Bundesgericht, 2022-11-03, FR</w:t>
      </w:r>
    </w:p>
    <w:p>
      <w:r>
        <w:rPr>
          <w:b/>
        </w:rPr>
        <w:t xml:space="preserve">Quelle: </w:t>
      </w:r>
      <w:r>
        <w:t>https://mcp.opencaselaw.ch/entscheid/bger_6B_1206_2022</w:t>
      </w:r>
    </w:p>
    <w:p>
      <w:r>
        <w:t>FR: TF 6B_1206/2022 du 3 novembre 2022</w:t>
      </w:r>
    </w:p>
    <w:p>
      <w:r>
        <w:t>IT: TF 6B_1206/2022 del 3 novembre 2022</w:t>
      </w:r>
    </w:p>
    <w:p>
      <w:pPr>
        <w:pStyle w:val="Heading2"/>
      </w:pPr>
      <w:r>
        <w:t>Erwägungen</w:t>
      </w:r>
    </w:p>
    <w:p>
      <w:r>
        <w:rPr>
          <w:b/>
        </w:rPr>
        <w:t>E. 1</w:t>
      </w:r>
    </w:p>
    <w:p>
      <w:r>
        <w:t>Par acte du 5 octobre 2022, A.________ recourt en matière pénale au Tribunal fédéral contre une ordonnance du 2 septembre 2022 par laquelle une juge unique de la Chambre pénale du Tribunal cantonal du Valais a rejeté, dans la mesure de sa recevabilité, le recours interjeté par la précitée contre une ordonnance du 8 juin 2021. Par cette dernière décision, le ministère public a refusé, frais à la charge de l'État, d'entrer en matière sur la plainte/dénonciation pénale déposée le 5 février 2021 par A.________ contre des membres de l'Autorité de protection de l'enfant et de l'adulte de U.________. Elle conclut avec suite de frais et dépens, principalement, à la réforme de l'ordonnance du 2 septembre 2022 en ce sens que la cause soit renvoyée au ministère public afin qu'il instruise la plainte. A titre subsidiaire, elle demande l'annulation de la décision querellée et le renvoi de la cause à la cour cantonale pour nouvelle décision au sens des considérants.</w:t>
      </w:r>
    </w:p>
    <w:p>
      <w:r>
        <w:rPr>
          <w:b/>
        </w:rPr>
        <w:t>E. 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3</w:t>
      </w:r>
    </w:p>
    <w:p>
      <w:r>
        <w:t>En l'espèce, la recourante ne dit mot de telles prétentions et leur existence ne peut être déduite sans ambiguïté de la nature des infractions alléguées, dès lors que la recourante s'en prend à des membres de l'Autorité de protection de l'enfant et de l'adulte. Or, conformément à l'art. 454 al. 1 et 2 en corrélation avec l' art. 440 al. 3 CC , la personne lésée par un acte ou une omission illicites dans le cadre de mesures prises par cette autorité n'a aucun droit à réparation envers l'auteur du dommage lui-même, seul le canton étant tenu d'une telle obligation. La recourante ne démontre, dès lors, pas avoir qualité pour recourir en matière pénale au regard de l'art. 81 al. 1 let. a et b ch. 5 LTF.</w:t>
      </w:r>
    </w:p>
    <w:p>
      <w:r>
        <w:rPr>
          <w:b/>
        </w:rPr>
        <w:t>E. 4</w:t>
      </w:r>
    </w:p>
    <w:p>
      <w:r>
        <w:t>Pour le surplus, on ne discerne dans le recours aucune contestation relative au droit de porter plainte (art. 81 al. 1 let. a et b ch. 6 LTF), non plus que l'allégation d'une éventuelle violation d'un droit de procédure entièrement séparé du fond (cf. ATF 141 IV 1 consid. 1.1 p. 5; 136 IV 29 consid. 1.9 p. 40 et les références citées). La recourante n'a donc pas non plus qualité pour recourir sous ces deux angles.</w:t>
      </w:r>
    </w:p>
    <w:p>
      <w:r>
        <w:rPr>
          <w:b/>
        </w:rPr>
        <w:t>E. 5</w:t>
      </w:r>
    </w:p>
    <w:p>
      <w:r>
        <w:t>L'irrecevabilité du recours est manifeste. Elle doit être constatée dans la procédure prévue par l' art. 108 al. 1 let. a et b LTF . La recourante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