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6B_1206/2015 vom 26. November 2015</w:t>
      </w:r>
    </w:p>
    <w:p>
      <w:r>
        <w:t>Bundesgericht, 2015-11-26, DE</w:t>
      </w:r>
    </w:p>
    <w:p>
      <w:r>
        <w:rPr>
          <w:b/>
        </w:rPr>
        <w:t xml:space="preserve">Quelle: </w:t>
      </w:r>
      <w:r>
        <w:t>https://mcp.opencaselaw.ch/entscheid/bger_6B_1206_2015</w:t>
      </w:r>
    </w:p>
    <w:p>
      <w:r>
        <w:t>FR: TF 6B_1206/2015 du 26 novembre 2015</w:t>
      </w:r>
    </w:p>
    <w:p>
      <w:r>
        <w:t>IT: TF 6B_1206/2015 del 26 novembre 2015</w:t>
      </w:r>
    </w:p>
    <w:p>
      <w:pPr>
        <w:pStyle w:val="Heading2"/>
      </w:pPr>
      <w:r>
        <w:t>Erwägungen</w:t>
      </w:r>
    </w:p>
    <w:p>
      <w:r>
        <w:rPr>
          <w:b/>
        </w:rPr>
        <w:t>E. 1</w:t>
      </w:r>
    </w:p>
    <w:p>
      <w:r>
        <w:t>Der Beschwerdeführer erstattete am 9. März 2015 gegen zwei Mitarbeiter seiner ehemaligen Arbeitgeberin Strafanzeige wegen Urkundenfälschung. Der eine habe ein Zwischen- und das Arbeitszeugnis anstelle des Personaldienstes unterzeichnet. Der andere, der sein direkter Vorgesetzter war, habe das Arbeitszeugnis nicht auf der linken, sondern auf der rechten Seite unterzeichnet.</w:t>
      </w:r>
    </w:p>
    <w:p>
      <w:r>
        <w:t>Die Staatsanwaltschaft Zürich-Sihl nahm das Strafverfahren am 13. April 2015 nicht an die Hand. Eine dagegen gerichtete Beschwerde wies das Obergericht des Kantons Zürich am 20. Oktober 2015 ab.</w:t>
      </w:r>
    </w:p>
    <w:p>
      <w:r>
        <w:t>Der Beschwerdeführer wendet sich ans Bundesgericht und beantragt, seine Anzeige sei an die Hand zu nehmen.</w:t>
      </w:r>
    </w:p>
    <w:p>
      <w:r>
        <w:rPr>
          <w:b/>
        </w:rPr>
        <w:t>E. 2</w:t>
      </w:r>
    </w:p>
    <w:p>
      <w:r>
        <w:t>Der Beschwerdeführer zeigt mehrere Personen wegen Rechtsbeugung, Amtsmissbrauchs und Begünstigung von Straftaten an (Beschwerde S. 2 unten). Für die Entgegennahme von Strafanzeigen ist das Bundesgericht indessen nicht zuständig. Der Beschwerdeführer hat sich an die kantonalen Behörden zu wenden.</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in seiner Eingabe vor Bundesgericht zu seiner Legitimation und insbesondere zur Frage einer allfälligen Schadenersatzforderung nicht. Sein in der Beschwerde angebrachter Hinweis, dass vor dem Arbeitsgericht eine "Klage auf Zeugnisänderung" hängig sei (Beschwerde S. 3), wird nicht näher ausgeführt und genügt deshalb den strengen Begründungsanforderungen von vornherein nicht. Um welchen konkreten Anspruch es gehen könnte, ist im Übrigen gestützt auf die angeklagte Urkundenfälschung auch nicht ohne Weiteres ersichtlich. Mangels einer auch nur rudimentären Begründung muss davon ausgegangen werden, dass der Beschwerdeführer zum vorliegenden Rechtsmittel nicht legitimiert ist. Darauf ist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