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1205/2020 vom 11. Dezember 2020</w:t>
      </w:r>
    </w:p>
    <w:p>
      <w:r>
        <w:t>Bundesgericht, 2020-12-11, DE</w:t>
      </w:r>
    </w:p>
    <w:p>
      <w:r>
        <w:rPr>
          <w:b/>
        </w:rPr>
        <w:t xml:space="preserve">Quelle: </w:t>
      </w:r>
      <w:r>
        <w:t>https://mcp.opencaselaw.ch/entscheid/bger_6B_1205_2020</w:t>
      </w:r>
    </w:p>
    <w:p>
      <w:r>
        <w:t>FR: TF 6B 1205/2020 du 11 décembre 2020</w:t>
      </w:r>
    </w:p>
    <w:p>
      <w:r>
        <w:t>IT: TF 6B 1205/2020 del 11 dicembre 2020</w:t>
      </w:r>
    </w:p>
    <w:p>
      <w:pPr>
        <w:pStyle w:val="Heading2"/>
      </w:pPr>
      <w:r>
        <w:t>Regeste</w:t>
      </w:r>
    </w:p>
    <w:p>
      <w:r>
        <w:t>Nichtanhandnahmeverfügung; Nichteintreten | Strafprozess</w:t>
      </w:r>
    </w:p>
    <w:p>
      <w:pPr>
        <w:pStyle w:val="Heading2"/>
      </w:pPr>
      <w:r>
        <w:t>Erwägungen</w:t>
      </w:r>
    </w:p>
    <w:p>
      <w:r>
        <w:rPr>
          <w:b/>
        </w:rPr>
        <w:t>E. 1</w:t>
      </w:r>
    </w:p>
    <w:p>
      <w:r>
        <w:t>Die Staatsanwaltschaft Sursee nahm mit Verfügung vom 13. August 2020 eine Strafanzeige des Beschwerdeführers gegen die Gemeinden Büron und Triengen bzw. gegen Unbekannt wegen Amtsmissbrauchs nicht an die Hand. Das Kantonsgericht Luzern trat auf die vom Beschwerdeführer dagegen erhobene Beschwerde mit Verfügung vom 1. Oktober 2020 mangels einer hinreichenden Begründung nicht ein. Der Beschwerdeführer gelangt gegen diese Verfügung mit Beschwerde an das Bundesgericht.</w:t>
      </w:r>
    </w:p>
    <w:p>
      <w:r>
        <w:rPr>
          <w:b/>
        </w:rPr>
        <w:t>E. 2</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3</w:t>
      </w:r>
    </w:p>
    <w:p>
      <w:r>
        <w:t>Gegenstand des vorliegenden Verfahrens bildet die Frage, ob die kantonale Beschwerde den gesetzlichen Begründungsanforderungen von Art. 385 Abs. 1 StPO genügte und ob die Vorinstanz darauf zu Unrecht nicht eintrat. Der Beschwerdeführer setzt sich damit sowie mit den Anforderungen von Art. 385 Abs. 1 StPO an die Beschwerdebegründung nicht auseinander. Der Beschwerdeführer wirft der Gemeinde Büron gemäss dem angefochtenen Entscheid vor, ihn am 30. Juni 2016 zu Unrecht aufgefordert zu haben, Fr. 30'577.75 zwecks Begleichung ausstehender Steuerschulden und bevorschusster Alimentenzahlungen zu bezahlen. Der Beschwerdeführer beschuldigt zudem mehrere Behörden, ihm zu Unrecht keinen Kontoauszug seiner Unterhaltszahlungen an seine Ex-Ehefrau und seine Tochter ausgehändigt zu haben (vgl. Beschwerde). Weshalb diese Sachverhalte unter einen Straftatbestand des schweizerischen Rechts fallen könnten, geht aus seiner Beschwerde indes nicht hervor. Daraus ergibt sich nicht ansatzweise, inwiefern die Vorinstanz geltendes Recht im Sinne von Art. 95 BGG verletzt haben könnte. Auf die Beschwerde ist mangels einer tauglichen Begründung im Verfahren nach Art. 108 BGG nicht einzutreten. Offenbleiben kann damit, ob der Beschwerdeführer zur vorliegenden Beschwerde überhaupt legitimiert ist, wozu er sich zu Unrecht ebenfalls nicht äussert (vgl. Art. 81 Abs. 1 lit. b Ziff. 5 BGG; BGE 141 IV 1 E. 1.1 S. 4 f. mit Hinweisen).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