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1204/2018 vom 15. Januar 2019</w:t>
      </w:r>
    </w:p>
    <w:p>
      <w:r>
        <w:t>Bundesgericht, 2019-01-15, DE</w:t>
      </w:r>
    </w:p>
    <w:p>
      <w:r>
        <w:rPr>
          <w:b/>
        </w:rPr>
        <w:t xml:space="preserve">Quelle: </w:t>
      </w:r>
      <w:r>
        <w:t>https://mcp.opencaselaw.ch/entscheid/bger_6B_1204_2018</w:t>
      </w:r>
    </w:p>
    <w:p>
      <w:r>
        <w:t>FR: TF 6B 1204/2018 du 15 janvier 2019</w:t>
      </w:r>
    </w:p>
    <w:p>
      <w:r>
        <w:t>IT: TF 6B 1204/2018 del 15 gennaio 2019</w:t>
      </w:r>
    </w:p>
    <w:p>
      <w:pPr>
        <w:pStyle w:val="Heading2"/>
      </w:pPr>
      <w:r>
        <w:t>Regeste</w:t>
      </w:r>
    </w:p>
    <w:p>
      <w:r>
        <w:t>Übertretung von Verkehrsvorschriften; Nichteintreten | Straftaten</w:t>
      </w:r>
    </w:p>
    <w:p>
      <w:pPr>
        <w:pStyle w:val="Heading2"/>
      </w:pPr>
      <w:r>
        <w:t>Erwägungen</w:t>
      </w:r>
    </w:p>
    <w:p>
      <w:r>
        <w:rPr>
          <w:b/>
        </w:rPr>
        <w:t>E. 1</w:t>
      </w:r>
    </w:p>
    <w:p>
      <w:r>
        <w:t>Mit Strafbefehl vom 11. Oktober 2016 büsste das Stadtrichteramt der Stadt Zürich den Beschwerdeführer wegen Überfahrens einer Sicherheitslinie und Nichtmitführens des Führerausweises mit Fr. 320.--. Der Beschwerdeführer erhob Einsprache. Nach Durchführung einer Untersuchung erliess das Stadtrichteramt am 7. Dezember 2017 einen Strafbefehl, mit welchem es den Beschwerdeführer abermals wegen Überfahrens einer Sicherheitslinie und Nichtmitführens des Führerausweises mit einer Busse von Fr. 320.-- bestrafte. Auf erneute Einsprache hin hielt das Stadtrichteramt am Strafbefehl fest, lehnte die Beweisanträge ab und überwies die Akten am 19. Januar 2018 an das Bezirksgericht Zürich. Dieses verurteilte den Beschwerdeführer am 8. März 2018 wegen Überfahrens einer Sicherheitslinie und Nichtmitführens des Führerausweises zu einer Busse von Fr. 320.-- (Ersatzfreiheitsstrafe 4 Tage). Das Obergericht des Kantons Zürich bestätigte den bezirksgerichtlichen Schuldspruch und die Busse mit Urteil vom 23. Oktober 2018, setzte die Ersatzfreiheitsstrafe indessen auf 3 Tage fest. 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3</w:t>
      </w:r>
    </w:p>
    <w:p>
      <w:r>
        <w:t>Die Beschwerde genügt diesen Begründungsanforderungen nicht. Der Beschwerdeführer bestreitet vor Bundesgericht die ihm zur Last gelegten Vorwürfe. Seine Bestreitungen gehen indessen nicht über eine unzulässige appellatorische Kritik hinaus. Der Beschwerdeführer setzt sich mit den Erwägungen des Obergerichts und den von diesem lediglich auf Willkür zu prüfenden Sachverhaltsfeststellungen des Bezirksgerichts Zürich (vgl. Art. 398 Abs. 4 StPO ) nicht substanziiert auseinander, sondern begnügt sich damit, seine eigene Sicht der Dinge zu schildern. Daraus ergibt sich nicht, inwiefern das angefochtene Urteil gegen das Recht im Sinne von Art. 95 BGG verstossen könnte. Mit dem Hinweis, es stehe "Aussage gegen Aussage", lässt sich nicht dartun, dass das Abstellen des Obergerichts auf die als glaubhaft beurteilten Ausführungen des Polizeibeamten willkürlich im Sinne von Art. 9 BV wäre. Der Beschwerdeführer verkennt, dass das Bundesgericht als oberste Recht sprechende Behörde ( Art. 1 Abs. 1 BGG ) grundsätzlich auf eine Rechtsüberprüfung des vorinstanzlichen Entscheids beschränkt und keine Appellationsinstanz ist, die eine freie Prüfung in tatsächlicher Hinsicht vornimmt. Soweit der Beschwerdeführer schliesslich geltend macht, er hätte - wenn überhaupt - höchstens mit einer Verwarnung rechnen müssen, übersieht er, dass Übertretungen von Verkehrsvorschriften mit Busse geahndet werden (vgl. Art. 90 Abs. 1 SVG und Art. 99 Abs. 1 SVG i.V.m. Art. 102 SVG und Art. 103 StGB ). Auf die Beschwerde kann mangels einer tauglichen Begründung ( Art. 42 Abs. 2 BGG , Art. 106 Abs. 2 BGG ) nicht eingetreten werden.</w:t>
      </w:r>
    </w:p>
    <w:p>
      <w:r>
        <w:rPr>
          <w:b/>
        </w:rPr>
        <w:t>E. 4</w:t>
      </w:r>
    </w:p>
    <w:p>
      <w:r>
        <w:t>Das Gesuch um unentgeltliche Rechtspflege ist infolge Aussichtslosigkeit der Rechtsbegehren abzuweisen ( Art. 64 Abs. 1 BGG ). Dem Beschwerdeführer sind angesichts seiner finanziellen Lage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