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6B_1203/2018 vom 12. Juni 2019</w:t>
      </w:r>
    </w:p>
    <w:p>
      <w:r>
        <w:t>Bundesgericht, 2019-06-12, FR</w:t>
      </w:r>
    </w:p>
    <w:p>
      <w:r>
        <w:rPr>
          <w:b/>
        </w:rPr>
        <w:t xml:space="preserve">Quelle: </w:t>
      </w:r>
      <w:r>
        <w:t>https://mcp.opencaselaw.ch/entscheid/bger_6B_1203_2018</w:t>
      </w:r>
    </w:p>
    <w:p>
      <w:r>
        <w:t>FR: TF 6B_1203/2018 du 12 juin 2019</w:t>
      </w:r>
    </w:p>
    <w:p>
      <w:r>
        <w:t>IT: TF 6B_1203/2018 del 12 giugno 2019</w:t>
      </w:r>
    </w:p>
    <w:p>
      <w:pPr>
        <w:pStyle w:val="Heading2"/>
      </w:pPr>
      <w:r>
        <w:t>Erwägungen</w:t>
      </w:r>
    </w:p>
    <w:p>
      <w:r>
        <w:rPr>
          <w:b/>
        </w:rPr>
        <w:t>E. 1</w:t>
      </w:r>
    </w:p>
    <w:p>
      <w:r>
        <w:t>Le Tribunal fédéral examine d'office et librement la recevabilité des recours qui lui sont soumis ( ATF 143 IV 357 consid. 1 p. 358).</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En l'espèce, la recourante demande, à titre de prétention civile, l'indemnisation du dommage subi du fait de la gestion déloyale, en particulier des opérations de placement effectuées en violation des devoirs de gestion. Elle fait valoir que son patrimoine aurait subi une diminution de l'actif entre 1997 et 2014 de l'ordre de 1'362'578 USD (mémoire de recours n° 45). Les conditions posées par l' art. 81 al. 1 LTF sont dès lors réalisées, de sorte que la recourante revêt la qualité pour recourir.</w:t>
      </w:r>
    </w:p>
    <w:p>
      <w:r>
        <w:rPr>
          <w:b/>
        </w:rPr>
        <w:t>E. 2</w:t>
      </w:r>
    </w:p>
    <w:p>
      <w:r>
        <w:t>Dénonçant la violation de son droit d'être entendue et se plaignant d'un déni de justice formel, la recourante fait valoir que la cour cantonale n'a pas traité un grief qu'elle a soulevé dans son recours cantonal à l'encontre de l'ordonnance de classement.</w:t>
      </w:r>
    </w:p>
    <w:p>
      <w:r>
        <w:rPr>
          <w:b/>
        </w:rPr>
        <w:t>E. 2.1</w:t>
      </w:r>
    </w:p>
    <w:p>
      <w:r>
        <w:t>Commet un déni de justice formel et viole par conséquent l' art. 29 al. 1 Cst. l'autorité qui ne statue pas ou n'entre pas en matière sur un recours ou un grief qui lui est soumis dans les formes et délais légaux, alors qu'elle était compétente pour le faire (arrêt 6B_118/2009 du 20 décembre 2011 consid. 3.2 non publié in ATF 138 I 97 ; 135 I 6 consid. 2.1 p. 9; 134 I 229 consid. 2.3 p. 232).</w:t>
      </w:r>
    </w:p>
    <w:p>
      <w:r>
        <w:rPr>
          <w:b/>
        </w:rPr>
        <w:t>E. 2.2</w:t>
      </w:r>
    </w:p>
    <w:p>
      <w:r>
        <w:t>Dans son recours cantonal, la recourante reprochait au ministère public d'avoir procédé à une constatation incomplète ou erronée des faits en retenant que l'entrée de 449'750 titres D.________ pour une valeur de 1'604'266 USD le 9 juillet 2008 résultait du retour d'un ancien placement effectué au Canada sous la forme d'un transfert d'argent (recours cantonal p. 11 ss). Pour la recourante, ce transfert de 30'009.99 CAD était un apport supplémentaire de fonds sous gestion dont il fallait tenir compte dans l'établissement du dommage. La recourante expliquait que, pour le ministère public, le patrimoine de la recourante n'avait en conséquence subi aucune diminution de l'actif, mais une augmentation de l'ordre de 220'873 USD, alors que, si l'on suivait sa conception, son patrimoine avait subi une diminution de l'actif entre 1997 et 2014 de l'ordre de 1'362'578 USD. Le grief soulevé par la recourante était suffisamment motivé. Il était en outre déterminant pour l'issue du litige, dès lors que le ministère public fondait son ordonnance de classement sur l'absence de dommage subi par la recourante.</w:t>
      </w:r>
    </w:p>
    <w:p>
      <w:r>
        <w:rPr>
          <w:b/>
        </w:rPr>
        <w:t>E. 2.3</w:t>
      </w:r>
    </w:p>
    <w:p>
      <w:r>
        <w:t>Dans la partie " En droit " de son arrêt, la cour cantonale a examiné le grief de violation du droit d'être entendu (arrêt attaqué, consid. 2 p. 12), le grief de violation de l' art. 158 CP (arrêt attaqué, consid. 3 p. 13) et brièvement le grief de violation du principe in dubio pro duriore (arrêt attaqué, consid. 3 p. 13).</w:t>
      </w:r>
    </w:p>
    <w:p>
      <w:r>
        <w:t>En revanche, elle n'a rien dit sur le grief de constatation incomplète ou erronée des faits. Elle s'est bornée à rappeler dans la partie " En fait " la position adoptée par le ministère public (arrêt attaqué consid. D.b p. 11), ainsi que la position défendue par la recourante (arrêt attaqué consid. D.a p. 10 s.). Elle n'a en revanche pas indiqué la position qu'elle a considéré comme établie au vu des auditions des parties et des témoins, ainsi que des pièces versées à la procédure. Au considérant 3 de la partie " En droit ", elle s'est contentée d'exposer, sans autres explications, que "</w:t>
      </w:r>
    </w:p>
    <w:p>
      <w:r>
        <w:t>le patrimoine de la recourante (et de sa soeur) confié à la gestion des mis en cause en 1997 ne s'était pas appauvri au 31 décembre 2014 " et que "</w:t>
      </w:r>
    </w:p>
    <w:p>
      <w:r>
        <w:t>en tenant compte des prélèvements effectués, il avait même augmenté " (arrêt attaqué p. 15).</w:t>
      </w:r>
    </w:p>
    <w:p>
      <w:r>
        <w:t>Selon les intimés, la cour cantonale aurait traité du grief de constatation incomplète ou erronée des faits dans la partie " En fait " de son arrêt au considérant l. A ce considérant, elle a exposé que "</w:t>
      </w:r>
    </w:p>
    <w:p>
      <w:r>
        <w:t>le Procureur a requis de la banque E.________ la documentation relative à l'entrée de titres, en USD 1'781'718, le 9 juillet 2008, sur l'un des comptes de X.________. Selon les documents fournis, il s'était agi de la contrevaleur de titres de D.________ Corp. " (arrêt attaqué p. 10). Par ce passage, qui figure dans la partie " En fait " de l'arrêt, la cour cantonale n'a pas apprécié les moyens de preuve relatifs à cette entrée de titres, mais s'est bornée à reprendre la position du ministère public.</w:t>
      </w:r>
    </w:p>
    <w:p>
      <w:r>
        <w:rPr>
          <w:b/>
        </w:rPr>
        <w:t>E. 2.4</w:t>
      </w:r>
    </w:p>
    <w:p>
      <w:r>
        <w:t>En définitive, il faut admettre que la cour cantonale n'a pas traité du grief de constatation incomplète ou erronée des faits relatif au calcul du dommage global, bien que celui-ci ait été déterminant pour l'issue du litige. La cour cantonale a donc commis un déni de justice formel. Le recours doit dès lors être admis, l'arrêt attaqué annulé et la cause renvoyée à la cour cantonale pour qu'elle se prononce sur ce grief. Vu l'issue du recours, il n'y a pas lieu de traiter les autres griefs, notamment ceux tirés de l'arbitraire dans l'établissement des faits (relatif à l'établissement du dommage) et de la violation de l' art. 158 CP (fausse conception du dommage).</w:t>
      </w:r>
    </w:p>
    <w:p>
      <w:r>
        <w:rPr>
          <w:b/>
        </w:rPr>
        <w:t>E. 3</w:t>
      </w:r>
    </w:p>
    <w:p>
      <w:r>
        <w:t>La recourante, qui obtient gain de cause, ne supportera pas de frais judiciaires ( art. 66 al. 1 LTF ). Elle peut prétendre à une indemnité de dépens, à la charge, d'une part, du canton de Genève et, d'autre part, des intimés, solidairement entre eux ( art. 68 al. 1 et 2 LTF ). Les intimés, qui succombent, supporteront solidairement une partie des frais judiciaires, le canton de Genève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