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6B_1203/2017 vom 1. November 2017</w:t>
      </w:r>
    </w:p>
    <w:p>
      <w:r>
        <w:t>Bundesgericht, 2017-11-01, DE</w:t>
      </w:r>
    </w:p>
    <w:p>
      <w:r>
        <w:rPr>
          <w:b/>
        </w:rPr>
        <w:t xml:space="preserve">Quelle: </w:t>
      </w:r>
      <w:r>
        <w:t>https://mcp.opencaselaw.ch/entscheid/bger_6B_1203_2017</w:t>
      </w:r>
    </w:p>
    <w:p>
      <w:r>
        <w:t>FR: TF 6B_1203/2017 du 1 novembre 2017</w:t>
      </w:r>
    </w:p>
    <w:p>
      <w:r>
        <w:t>IT: TF 6B_1203/2017 del 1 novembre 2017</w:t>
      </w:r>
    </w:p>
    <w:p>
      <w:pPr>
        <w:pStyle w:val="Heading2"/>
      </w:pPr>
      <w:r>
        <w:t>Erwägungen</w:t>
      </w:r>
    </w:p>
    <w:p>
      <w:r>
        <w:rPr>
          <w:b/>
        </w:rPr>
        <w:t>E. 1</w:t>
      </w:r>
    </w:p>
    <w:p>
      <w:r>
        <w:t>Die Beschwerde ist zulässig gegen Entscheide, die das Verfahren abschliessen ( Art. 90 BGG ). Vorinstanzliche Rückweisungsentscheide, mit denen eine Sache zur neuen Entscheidung an die kantonale Vorinstanz zurückgewiesen werden, schliessen das Verfahren nicht ab und sind daher grundsätzlich Zwischenentscheide, die nur unter den Voraussetzungen von Art. 93 Abs. 1 BGG direkt mit Beschwerde in Strafsachen angefochten werden können (vgl. Urteil 6B_1216/2016 vom 4. August 2017 E. 1.3). Anders verhält es sich, wenn der Instanz, an welche die Sache von der Vorinstanz zurückgewiesen wird, kein Entscheidungsspielraum mehr verbleibt und die Rückweisung nur noch der Umsetzung des oberinstanzlich Angeordneten dient ( BGE 138 I 143 E. 1.2 S. 148; 142 II 20 E. 1.2 S. 23 f.). Mit dem vorinstanzlichen Entscheid wird die Sache zur bedingten Entlassung des Beschwerdegegners an das Departement für die Regelung der Entlassungsmodalitäten innert bestimmter Frist zurückgewiesen und lässt diesem im Übrigen keinen Entscheidungsspielraum offen. Die Rückweisung dient damit nur noch der Umsetzung der Anordnungen im vorinstanzlichen Urteil, weshalb dieses nach der bundesgerichtlichen Rechtsprechung als Endentscheid zu qualifizieren ist (vgl. Urteil 1C_369/2016 vom 1. Mai 2017 E. 1.2).</w:t>
      </w:r>
    </w:p>
    <w:p>
      <w:r>
        <w:rPr>
          <w:b/>
        </w:rPr>
        <w:t>E. 2</w:t>
      </w:r>
    </w:p>
    <w:p>
      <w:r>
        <w:t>Die Beschwerdeführerin ist zur Beschwerde legitimiert (Art. 81 Abs. 3 i.V.m. Art. 78 Abs. 2 lit. b BGG ).</w:t>
      </w:r>
    </w:p>
    <w:p>
      <w:r>
        <w:t>Die Behördenbeschwerde ist grundsätzlich nur unter den Voraussetzungen von Art. 81 Abs. 1 lit. b Ziff. 7 und Abs. 3 BGG gegeben. Entsprechend sind die kantonalen Vollzugsbehörden wie das Departement Volkswirtschaft und Inneres sowie das Amt für Justizvollzug von der Beschwerde ausgeschlossen (vgl. BGE 139 I 51 E. 2.3 S. 53; 133 IV 121 E. 1.1 ff. S. 123 ff.). Die Staatsanwaltschaft ist nach Art. 81 Abs. 1 lit. b Ziff. 3 BGG ohne Einschränkung beschwerdeberechtigt ( BGE 139 IV 199 E. 2 S. 200; Urteile 6B_664/2013 vom 16. Dezember 2013 E. 1.1 und 6B_619/2015 vom 18. Dezember 2015 E. 1.1). Die Interessen "tangierter Behörden" sind vom Staatsanwalt zu wahren (SCHMID/JOSITSCH, Handbuch des schweizerischen Strafprozessrechts, 3. Aufl. 2017, S. 247, FN. 9 zu N. 636).</w:t>
      </w:r>
    </w:p>
    <w:p>
      <w:r>
        <w:rPr>
          <w:b/>
        </w:rPr>
        <w:t>E. 3</w:t>
      </w:r>
    </w:p>
    <w:p>
      <w:r>
        <w:t>In der Begründung ist in gedrängter Form darzulegen, inwiefern der angefochtene Akt Recht verletzt ( Art. 42 Abs. 2 BGG ). Dies setzt voraus, dass sich die Beschwerdeführerin wenigstens kurz mit den Erwägungen auseinandersetzt und die minimalen Begründungsanforderungen erfüllt ( BGE 134 II 244 E. 2.1 S. 245 f.).</w:t>
      </w:r>
    </w:p>
    <w:p>
      <w:r>
        <w:t>Das Bundesgericht ist kein Berufungsgericht und prüft unter dem Titel von Art. 106 Abs. 1 BGG betreffend die Rechtsanwendung von Amtes wegen grundsätzlich nur die erhobenen Rügen, es sei denn, die rechtlichen Mängel lägen geradezu auf der Hand ( BGE 142 I 99 E. 1.7.1 S. 106; 140 III 115 E. 2 S. 116). Eine "offensichtlich unrichtige" Feststellung des Sachverhalts muss in der Beschwerde anhand des angefochtenen Entscheids explizit vorgebracht und substanziiert begründet werden, anderenfalls ist darauf nicht einzutreten ( Art. 97 Abs. 1 BGG i.V.m. Art. 9 BV ; BGE 141 IV 249 E. 1.3.1 S. 253, 317 E. 5.4 S. 324; 140 III 264 E. 2.3 S. 266).</w:t>
      </w:r>
    </w:p>
    <w:p>
      <w:r>
        <w:rPr>
          <w:b/>
        </w:rPr>
        <w:t>E. 4.1</w:t>
      </w:r>
    </w:p>
    <w:p>
      <w:r>
        <w:t>Die Beschwerdeführerin rügt eine Verletzung von Art. 51 und Art. 60 Abs. 4 StGB . Sie folgert aus BGE 141 IV 236 sowie dem Urteil 6B_1213/2016 vom 8. März 2017, die Berücksichtigung der Untersuchungs- und Sicherheitshaft wirke sich lediglich auf die Haftentschädigung, nicht aber auf die Höchstdauer der Massnahme aus, verkürze diese also nicht. Die Anrechnung einer längeren Untersuchungshaft würde den Massnahmenzweck gefährden, weshalb die Anrechnung grundsätzlich ausgeschlossen sei.</w:t>
      </w:r>
    </w:p>
    <w:p>
      <w:r>
        <w:rPr>
          <w:b/>
        </w:rPr>
        <w:t>E. 4.1.1</w:t>
      </w:r>
    </w:p>
    <w:p>
      <w:r>
        <w:t>Untersuchungs- und Sicherheitshaft sind strafprozessuale Haftanordnungen und können eine Haft nur einstweilen nach Massgabe des Haftzweckes rechtfertigen. Sie dürfen nicht länger dauern als die zu erwartende Freiheitsstrafe ( Art. 212 Abs. 3 StPO ; vgl. BGE 143 IV 160 E. 2.1 S. 162 und E. 4.1 S. 165).</w:t>
      </w:r>
    </w:p>
    <w:p>
      <w:r>
        <w:rPr>
          <w:b/>
        </w:rPr>
        <w:t>E. 4.1.2</w:t>
      </w:r>
    </w:p>
    <w:p>
      <w:r>
        <w:t>Gemäss Art. 431 Abs. 2 StPO besteht ein Anspruch auf Entschädigung oder Genugtuung, wenn die zulässige Haftdauer überschritten ist und der übermässige Freiheitsentzug nicht an die wegen anderer Straftaten ausgesprochenen Sanktionen angerechnet werden kann. Das Gesetz regelt die Sachfrage zweifelsfrei: Untersuchungshaft ist auf die Strafe anzurechnen ( Art. 51 StGB ). Der mit der Massnahme verbundene Freiheitsentzug ist auf die Strafe anzurechnen ( Art. 57 Abs. 3 StGB ). Ratio legis ist der Grundsatz des Realausgleichs des Eingriffs in die persönliche Freiheit. Im Einklang mit Art. 51 StGB stellt Art. 431 Abs. 2 StPO daher die Regel auf, dass Überhaft primär an eine andere Sanktion anzurechnen ist und nur insoweit zu entschädigen ist, als keine Anrechnung erfolgen kann. Die beschuldigte Person hat kein Wahlrecht. Sie hat gegebenenfalls in Kauf zu nehmen, dass eine an sich mögliche Entschädigung wegen Anrechnung entfällt (Urteil 6B_747/2016 vom 27. Oktober 2016 E. 3.5.1 mit Hinweisen).</w:t>
      </w:r>
    </w:p>
    <w:p>
      <w:r>
        <w:rPr>
          <w:b/>
        </w:rPr>
        <w:t>E. 4.1.3</w:t>
      </w:r>
    </w:p>
    <w:p>
      <w:r>
        <w:t>Wie im Urteil 6B_1213/2016 vom 8. März 2017 E. 2.1 ausgeführt, liegt (erst) ab einem vollstreckbaren gerichtlichen Massnahmenentscheid ein gültiger materiellrechtlicher Vollzugstitel vor ( BGE 142 IV 105 E. 5.7 S. 114 und E. 5.9 S. 118). Der Aufenthalt in einer Straf- oder Haftanstalt stellt einen Freiheitsentzug dar und ist bei der Massnahmendauer zu berücksichtigen ( BGE 142 IV 105 E. 5.6 S. S. 114), d.h. anzurechnen. Die Unterbringung in einer Straf- oder Haftanstalt ist an sich nur zur kurzfristigen Überbrückung einer Notlage mit Bundesrecht vereinbar. Die effektive Behandlungsdauer wird um die nach dem vollstreckbaren Entscheid ohne Behandlung in einer Straf- oder Haftanstalt verbrachte Zeit verkürzt ( BGE 142 IV 105 E. 5.8.1 S. 115). Der mit der Massnahme verbundene Freiheitsentzug ist auf die (Freiheits-) Strafe anzurechnen ( Art. 57 Abs. 3 StGB ; BGE 141 IV 236 E. 3.5 S. 241), und umgekehrt ebenso die Untersuchungs- und Sicherheitshaft auf die Massnahme ( BGE 141 IV 236 E. 3.6 ff. S. 241 ff.).</w:t>
      </w:r>
    </w:p>
    <w:p>
      <w:r>
        <w:rPr>
          <w:b/>
        </w:rPr>
        <w:t>E. 4.1.4</w:t>
      </w:r>
    </w:p>
    <w:p>
      <w:r>
        <w:t>Die Beschwerdeführerin verkennt die beiden bundesgerichtlichen Entscheide (oben E. 4.1). Die effektive Behandlungsdauer wird in der Tat um die Dauer der Untersuchungs- oder Sicherheitshaft "verkürzt", und entsprechend wird die Resozialisierung durch eine geeignete Behandlung "unterlaufen" ( BGE 142 IV 105 E. 5.8.1 S. 115 und S. 117). Dabei handelt es sich um eine unter Umständen nicht leicht zu lösende Problematik des Vollzugsmanagements. Diese Problematik ändert nichts daran, dass einer Person die Freiheit nur in den vom Gesetz selbst vorgesehenen Fällen und nur auf die im Gesetz vorgeschriebene Weise entzogen werden darf ( Art. 31 Abs. 1 BV ). Deshalb und entgegen der Ansicht der Beschwerdeführerin wird die Massnahmendauer durch die anrechenbare Untersuchungs- oder Sicherheitshaft verkürzt.</w:t>
      </w:r>
    </w:p>
    <w:p>
      <w:r>
        <w:rPr>
          <w:b/>
        </w:rPr>
        <w:t>E. 4.1.5</w:t>
      </w:r>
    </w:p>
    <w:p>
      <w:r>
        <w:t>Ist der Täter von Suchtstoffen oder in anderer Weise abhängig, so kann das Gericht eine stationäre Behandlung anordnen ( Art. 60 Abs. 1 StGB ). Gemäss Art. 60 Abs. 4 StGB beträgt der mit der Massnahme verbundene Freiheitsentzug</w:t>
      </w:r>
    </w:p>
    <w:p>
      <w:r>
        <w:t>höchstens drei Jahre . Das Gericht kann auf Antrag der Vollzugsbehörde die Verlängerung der Massnahme</w:t>
      </w:r>
    </w:p>
    <w:p>
      <w:r>
        <w:t>einmal um ein Jahr anordnen (die weitere gesetzliche Limitierung, dass der Freiheitsentzug mit Verlängerung und Rückversetzung die Höchstdauer von insgesamt sechs Jahren nicht überschreiten darf, steht in casu nicht zur Diskussion). Der Freiheitsentzug im Sinne von Art. 60 Abs. 1 StGB ist somit in casu auf</w:t>
      </w:r>
    </w:p>
    <w:p>
      <w:r>
        <w:t>vier Jahre begrenzt.</w:t>
      </w:r>
    </w:p>
    <w:p>
      <w:r>
        <w:rPr>
          <w:b/>
        </w:rPr>
        <w:t>E. 4.2</w:t>
      </w:r>
    </w:p>
    <w:p>
      <w:r>
        <w:t>Wie die Vorinstanz feststellt, ist die vierjährige Höchstdauer der Massnahme gemäss Art. 60 Abs. 4 StGB in jedem Fall abgelaufen (Urteil S. 8 f.). Sie weist die Sache deshalb zur Anordnung der bedingten Entlassung sowie zwecks allfälliger diesbezüglicher Vorkehren an das Departement zurück.</w:t>
      </w:r>
    </w:p>
    <w:p>
      <w:r>
        <w:rPr>
          <w:b/>
        </w:rPr>
        <w:t>E. 4.2.1</w:t>
      </w:r>
    </w:p>
    <w:p>
      <w:r>
        <w:t>Die Beschwerdeführerin wendet ein, die Vorinstanz komme gestützt auf das psychiatrische Gutachten vom 30. August 2017 zum Schluss, der Beschwerdegegner könne bedingt entlassen werden, und ordne damit die letzte Stufe der Vollzugslockerung an, obwohl sich bisher nicht ansatzweise habe überprüfen lassen, wie er sich ausserhalb des aktuell hoch strukturierten und geschützten Raumes verhalten würde. Die Vorinstanz verletze Art. 62 StGB und habe den Sachverhalt falsch dargestellt. Soweit die Beschwerdeführerin eine falsche Sachverhaltsfeststellung behauptet, fehlt es selbst an einer minimalen Willkürbegründung. Darauf ist nicht einzutreten (oben E. 3).</w:t>
      </w:r>
    </w:p>
    <w:p>
      <w:r>
        <w:t>Die Beschwerdeführerin wirft der Vorinstanz unter dem Gesichtspunkt von Art. 62 StGB vor, die Vorinstanz habe die "stufenweise Vollzugslockerung [...] übergangen" (Beschwerde S. 7). Sie setzt sich dabei weder mit der Rechtslage noch den Erwägungen noch der Rückweisung effektiv auseinander (oben E. 3).</w:t>
      </w:r>
    </w:p>
    <w:p>
      <w:r>
        <w:rPr>
          <w:b/>
        </w:rPr>
        <w:t>E. 4.2.2</w:t>
      </w:r>
    </w:p>
    <w:p>
      <w:r>
        <w:t>Gemäss Art. 62c Abs. 1 lit. b StGB wird die Massnahme aufgehoben, wenn die Höchstdauer nach Art. 60 StGB erreicht wurde und die Voraussetzungen für die bedingte Entlassung nicht eingetreten sind. In casu ist die Höchstdauer der Massnahme erreicht und sind die Voraussetzungen für die bedingte Entlassung nicht eingetreten.</w:t>
      </w:r>
    </w:p>
    <w:p>
      <w:r>
        <w:t>Eine Freiheitsstrafe wurde im Anordnungsurteil nicht festgesetzt. Es liegt mithin keine Reststrafe im Sinne von Art. 62c Abs. 2 Satz 1 StGB vor, so dass weder eine Reststrafe vollzogen noch diese zugunsten einer bedingten Entlassung aufgeschoben werden könnte. Eine bedinge Entlassung scheidet damit bereits aus formellen Gründen aus. Die Massnahme ist vielmehr ex lege aufzuheben. Es bleibt einzig die Rückweisung an die Vollzugsbehörde zur Prüfung eines Vorgehens im Sinne von Art. 62c Abs. 4 [Verwahrung] oder Abs. 5 [Anzeige an Erwachsenenschutzbehörde] StGB (vgl. BGE 141 IV 49 ceteris paribus). Sie hat, falls kein Antrag auf Verwahrung in Betracht kommt, den Beschwerdegegner innert der Frist von fünf Tagen seit Zustellung des bundesgerichtlichen Urteils aus der stationären Massnahme zu entlassen.</w:t>
      </w:r>
    </w:p>
    <w:p>
      <w:r>
        <w:rPr>
          <w:b/>
        </w:rPr>
        <w:t>E. 4.2.3</w:t>
      </w:r>
    </w:p>
    <w:p>
      <w:r>
        <w:t>Ziff. 1 des Dispositivs des angefochtenen Entscheids ist von Amtes wegen im bundesgerichtlichen Urteilsdispositiv zu präzisieren.</w:t>
      </w:r>
    </w:p>
    <w:p>
      <w:r>
        <w:rPr>
          <w:b/>
        </w:rPr>
        <w:t>E. 5</w:t>
      </w:r>
    </w:p>
    <w:p>
      <w:r>
        <w:t>Die Massnahme ist ex lege aufzuheben. Auf eine weitere Vernehmlassung ist daher angesichts des Beschleunigungsgebots zu verzichten, da die Vollzugsbehörde die Entlassungsfrage gemäss Art. 62c StGB zu prüfen und gegebenenfalls dem Beschwerdeführer das rechtliche Gehör zu gewähren haben wird (Urteile 6B_986/2016 vom 20. September 2017 E. 2.2 und 6B_563/2017 vom 11. September 2017 E. 3).</w:t>
      </w:r>
    </w:p>
    <w:p>
      <w:r>
        <w:rPr>
          <w:b/>
        </w:rPr>
        <w:t>E. 6</w:t>
      </w:r>
    </w:p>
    <w:p>
      <w:r>
        <w:t>Mit dem Entscheid in der Sache ist das Gesuch um vorsorgliche Massnahme gegenstandslos geworden. Darauf ist nicht mehr einzutreten.</w:t>
      </w:r>
    </w:p>
    <w:p>
      <w:r>
        <w:rPr>
          <w:b/>
        </w:rPr>
        <w:t>E. 7</w:t>
      </w:r>
    </w:p>
    <w:p>
      <w:r>
        <w:t>Die Beschwerde ist abzuweisen, soweit darauf einzutreten ist. Das vorinstanzliche Dispositiv ist von Amtes wegen zu präzisieren. Es werden keine Kosten erhoben ( Art. 66 Abs. 4 BGG ). Das Gesuch um unentgeltliche Rechtspflege ist gutzuheissen. Die Rechtsvertreterin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