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1202/2018 vom 11. Januar 2019</w:t>
      </w:r>
    </w:p>
    <w:p>
      <w:r>
        <w:t>Bundesgericht, 2019-01-11, FR</w:t>
      </w:r>
    </w:p>
    <w:p>
      <w:r>
        <w:rPr>
          <w:b/>
        </w:rPr>
        <w:t xml:space="preserve">Quelle: </w:t>
      </w:r>
      <w:r>
        <w:t>https://mcp.opencaselaw.ch/entscheid/bger_6B_1202_2018</w:t>
      </w:r>
    </w:p>
    <w:p>
      <w:r>
        <w:t>FR: TF 6B 1202/2018 du 11 janvier 2019</w:t>
      </w:r>
    </w:p>
    <w:p>
      <w:r>
        <w:t>IT: TF 6B 1202/2018 del 11 gennaio 2019</w:t>
      </w:r>
    </w:p>
    <w:p>
      <w:pPr>
        <w:pStyle w:val="Heading2"/>
      </w:pPr>
      <w:r>
        <w:t>Regeste</w:t>
      </w:r>
    </w:p>
    <w:p>
      <w:r>
        <w:t>Ordonnance de non-entrée en matière (calomnie, diffamation) | Procédure pénale</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Les mêmes exigences sont requises à l'égard de celui qui se plaint d'infractions attentatoires à l'honneur.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6B_1244/2018 du 7 janvier 2019 consid. 1.1; 6B_1021/2018 du 19 décembre 2018 consid. 1.1; 6B_875/2018 du 15 novembre 2018 consid. 1 et les références citées).</w:t>
      </w:r>
    </w:p>
    <w:p>
      <w:r>
        <w:rPr>
          <w:b/>
        </w:rPr>
        <w:t>E. 1.2</w:t>
      </w:r>
    </w:p>
    <w:p>
      <w:r>
        <w:t>Le recourant indique qu'il souhaite réclamer aux intimées une indemnité pour tort moral d'au moins 3'000 fr. en raison de la souffrance provoquée par les propos litigieux et le licenciement qui en aurait résulté. Il paraît douteux que la souffrance morale évoquée par le recourant - à propos de laquelle il ne fournit aucune précision - puisse justifier l'allocation d'une indemnité pour tort moral sur la base de l' art. 49 al. 1 CO . La question peut cependant être laissée ouverte, compte tenu du sort du recours.</w:t>
      </w:r>
    </w:p>
    <w:p>
      <w:r>
        <w:rPr>
          <w:b/>
        </w:rPr>
        <w:t>E. 2</w:t>
      </w:r>
    </w:p>
    <w:p>
      <w:r>
        <w:t>Le recourant reproche à la cour cantonale d'avoir confirmé l'ordonnance de non-entrée en matière du 15 mai 2018. Il se plaint d'une violation de l' art. 310 al. 1 let. a CPP en lien avec les art. 173 et 174 CP .</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(arrêts 6B_635/2018 du 24 octobre 2018 consid. 2.1.2; 6B_1104/2017 du 13 avril 2018 consid. 2.3.1 et les références citées).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2.2.1 p. 243; 138 IV 86 consid. 4.1.2 p. 91; 186 consid. 4.1 p. 190).</w:t>
      </w:r>
    </w:p>
    <w:p>
      <w:r>
        <w:rPr>
          <w:b/>
        </w:rPr>
        <w:t>E. 2.2</w:t>
      </w:r>
    </w:p>
    <w:p>
      <w:r>
        <w:t>Les art. 173 et 174 CP protègent la réputation d'être une personne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 ATF 137 IV 313 consid. 2.1.1 p. 315; 132 IV 112 consid. 2.1 p. 115; 128 IV 53 consid. 1a p. 57 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137 IV 313 consid 2.1.3 p. 315 s.).</w:t>
      </w:r>
    </w:p>
    <w:p>
      <w:r>
        <w:rPr>
          <w:b/>
        </w:rPr>
        <w:t>E. 2.3</w:t>
      </w:r>
    </w:p>
    <w:p>
      <w:r>
        <w:t>Comme l'a relevé à bon droit la cour cantonale, le premier courriel adressé par X.________ (intimée 2) à Y.________ (intimée 3) n'est pas attentatoire à l'honneur du recourant. Les expressions prises séparément, non plus que le sens général du courriel, ne peuvent être interprétés comme une accusation de harcèlement sexuel, en particulier au sens de l'art. 4 de la loi fédérale sur l'égalité entre femmes et hommes (LEg; RS 151.1). Il en ressort seulement que le recourant a fait plusieurs "avances" à l'intimée 2 et qu'il n'a pas compris que ses démarches étaient vouées à l'échec, ce qui, en définitive, a mis l'intéressée "un peu mal à l'aise". Contrairement à ce que soutient le recourant, l'intimée 2 n'a en revanche évoqué aucun acte à caractère sexuel ni suggéré que celui-ci l'aurait poursuivie de ses assiduités sans scrupule et sans tenir compte de ses refus, l'intéressée ayant au contraire précisé qu'il ne "voyait pas le mal" et insistait. La même appréciation peut être formulée s'agissant du second courriel litigieux adressé par l'intimée 2 à l'intimée 3. Celle-ci y rapporte les récriminations d'une cliente "très contrariée", en résumant ses griefs contre le recourant tout en se gardant d'y prêter foi. L'incident relaté peut certes faire apparaître le recourant comme un vendeur ayant eu un comportement inopportun avec une cliente, mais ni le fait d'avoir éventuellement fait "des avances" - dont la forme n'est aucunement précisée - à celle-ci ni celui d'avoir été "super mal poli" avec elle ne peut être considéré comme suffisant pour exposer l'intéressé au mépris en sa qualité d'homme. De même, le fait que l'intimée 2 précise ensuite avoir déjà, par le passé, entendu de semblables doléances peut faire apparaître le recourant comme un employé manquant de professionnalisme, voire impoli, sans pour autant le présenter comme une personne méprisable. Le fait que, comme le soutient le recourant, son employeur eût pris ces propos "au sérieux", n'est en rien déterminant dans l'appréciation du caractère attentatoire à l'honneur des courriels concernés. En effet, à supposer même que les courriels litigieux eussent occasionné le licenciement du recourant, cela ne signifie pas encore que l'employeur de ce dernier eût pris motif d'un comportement éventuellement indigne ou méprisable de son employé, un comportement "inapproprié" - ce qui s'entend dans le cadre professionnel - ayant alors été évoqué. Compte tenu de ce qui précède, on ne voit pas que les probabilités d'une condamnation des intimées seraient égales ou supérieures aux probabilités de leur acquittement, l'un des éléments constitutifs des infractions de diffamation et de calomnie faisant défaut. La cour cantonale pouvait, sans violer le droit fédéral, confirmer le refus d'entrer en matière du ministère public. Point n'est besoin, en conséquence, d'examiner si les intimées auraient pu, le cas échéant, apporter l'une des preuves libératoires à titre de l' art. 173 ch. 2 CP .</w:t>
      </w:r>
    </w:p>
    <w:p>
      <w:r>
        <w:rPr>
          <w:b/>
        </w:rPr>
        <w:t>E. 3</w:t>
      </w:r>
    </w:p>
    <w:p>
      <w:r>
        <w:t>Le recours doit être rejeté dans la mesure où il est recevable. Le recourant, qui succombe, supporte les frais judiciaires ( art. 66 al. 1 LTF ).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