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11/2015 vom 9. November 2015</w:t>
      </w:r>
    </w:p>
    <w:p>
      <w:r>
        <w:t>Bundesgericht, 2015-11-09, FR</w:t>
      </w:r>
    </w:p>
    <w:p>
      <w:r>
        <w:rPr>
          <w:b/>
        </w:rPr>
        <w:t xml:space="preserve">Quelle: </w:t>
      </w:r>
      <w:r>
        <w:t>https://mcp.opencaselaw.ch/entscheid/bger_6B_11_2015</w:t>
      </w:r>
    </w:p>
    <w:p>
      <w:r>
        <w:t>FR: TF 6B 11/2015 du 9 novembre 2015</w:t>
      </w:r>
    </w:p>
    <w:p>
      <w:r>
        <w:t>IT: TF 6B 11/2015 del 9 novembre 2015</w:t>
      </w:r>
    </w:p>
    <w:p>
      <w:pPr>
        <w:pStyle w:val="Heading2"/>
      </w:pPr>
      <w:r>
        <w:t>Regeste</w:t>
      </w:r>
    </w:p>
    <w:p>
      <w:r>
        <w:t>Infractions contre la vie et l'intégraité corporelle | Infractions</w:t>
      </w:r>
    </w:p>
    <w:p>
      <w:pPr>
        <w:pStyle w:val="Heading2"/>
      </w:pPr>
      <w:r>
        <w:t>Erwägungen</w:t>
      </w:r>
    </w:p>
    <w:p>
      <w:r>
        <w:rPr>
          <w:b/>
        </w:rPr>
        <w:t>E. 1</w:t>
      </w:r>
    </w:p>
    <w:p>
      <w:r>
        <w:t>Les conditions de recevabilité du recours en matière pénale sont en principe satisfaites, notamment à raison de la qualité pour recourir.</w:t>
      </w:r>
    </w:p>
    <w:p>
      <w:r>
        <w:rPr>
          <w:b/>
        </w:rPr>
        <w:t>E. 2</w:t>
      </w:r>
    </w:p>
    <w:p>
      <w:r>
        <w:t>Le recours en matière pénale est recevable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 Il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140 III 264 consid. 2.3 p. 266; 137 I 58 consid. 4.1.2 p. 62; 133 II 249 consid. 1.1.2 p. 252). 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w:t>
      </w:r>
    </w:p>
    <w:p>
      <w:r>
        <w:rPr>
          <w:b/>
        </w:rPr>
        <w:t>E. 3</w:t>
      </w:r>
    </w:p>
    <w:p>
      <w:r>
        <w:t>L' art. 78 al. 1, 3 et 5 CPP exige que les autorités de poursuite pénale établissent un procès-verbal des témoignages et autres dépositions qu'elles recueillent, telles les dépositions des parties (al. 1); les autorités doivent y consigner textuellement les questions et les réponses déterminantes (al. 3). A l'issue de l'audition, le procès-verbal doit être lu ou remis pour lecture à la personne entendue, et celle-ci est invitée à le signer. Un éventuel refus de signer, avec les motifs avancés, sont également consignés (al. 5). La personne entendue reçoit ainsi l'occasion de faire corriger ou compléter le procès-verbal (Philipp Näpfli, in Commentaire bâlois, 2e éd, nos 23 et 24 ad art. 78 CPP ). Ces règles sont notamment applicables aux débats d'appel. Aux débats du 1er octobre 2014, la déposition du recourant a été consignée comme suit: Je confirme les déclarations faites devant le Tribunal d'arrondissement de Lausanne. Je n'ai rien de nouveau à dire. Ma situation personnelle n'a pas évolué. J'ai été hospitalisé trois fois durant ma détention, je ne supporte pas les médicaments que l'on me donne. Devant le Tribunal fédéral, le recourant critique ce procès-verbal qu'il prétend lacunaire. Il affirme s'être « largement exprimé » aux débats; il affirme également que son défenseur lui a posé « un certain nombre » de questions, et que rien de cela n'a été noté par la Cour d'appel, en violation de l' art. 78 al. 3 CPP . Le recourant omet totalement d'indiquer, même de façon seulement fragmentaire et approximative, l'objet essentiel des déclarations, questions et réponses qui auraient dû être consignées. Il a par ailleurs signé le procès-verbal sans réclamer aucune adjonction ni exprimer aucune réserve. Contrairement à ses affirmations, la Cour d'appel ne s'est pas référée dans son jugement à des déclarations inédites recueillies par elle. Les « nouvelles explications données à l'audience de jugement », selon le texte, remontent aux débats de première instance devant le Tribunal correctionnel; elles divergeaient des dépositions antérieures. Le moyen que le recourant prétend tirer de l' art. 78 al. 3 CPP est inconsistant et doit être rejeté.</w:t>
      </w:r>
    </w:p>
    <w:p>
      <w:r>
        <w:rPr>
          <w:b/>
        </w:rPr>
        <w:t>E. 4</w:t>
      </w:r>
    </w:p>
    <w:p>
      <w:r>
        <w:t>Le recourant fait grief à la Cour d'appel d'avoir « systématiquement » écarté sa propre version des faits pour lui préférer celle de sa victime, défavorable à sa cause, et d'avoir ainsi violé la présomption d'innocence consacrée par l' art. 10 CPP . Cette simple protestation est inapte à susciter des doutes sérieux et irréductibles dans le verdict de culpabilité (cf. ATF 127 I 38 consid. 2 p. 40; 124 IV 86 consid. 2a p. 87/88).</w:t>
      </w:r>
    </w:p>
    <w:p>
      <w:r>
        <w:rPr>
          <w:b/>
        </w:rPr>
        <w:t>E. 5</w:t>
      </w:r>
    </w:p>
    <w:p>
      <w:r>
        <w:t>L' art. 129 CP rend punissable celui qui, sans scrupules, met autrui en danger de mort imminent; cette règle prévoit une peine privative de liberté de cinq ans au plus ou une peine pécuniaire. Selon la jurisprudence, celui qui étrangle une personne avec une certaine intensité peut la mettre en danger de mort, même si la victime ne perd pas connaissance et qu'elle ne subit pas de lésions sérieuses ( ATF 124 IV 53 consid. 2 p. 57/58; arrêts 6B_54/2013 du 23 août 2013, consid. 3.1; 6B_307/2013 du 13 juin 2013, consid. 4.1). La Cour d'appel constate que le recourant a fait subir à sa victime une strangulation suffisamment forte pour qu'elle perde connaissance et, plus tard, éprouve pendant une semaine des douleurs à la gorge et des difficultés de déglutition. La Cour juge que la victime s'est ainsi trouvée en danger de mort. Le recourant souligne inutilement que selon un rapport d'expertise, les lésions subies par la victime et constatées par l'expert n'ont pas mis sa vie en danger. Selon le jugement attaqué, c'est en effet la strangulation qui a engendré le danger de mort, et celui-ci a pris fin avec celle-là. Il importe tout aussi peu que la strangulation n'ait pas laissé de traces visibles sur le corps de la victime. Le recourant argue vainement, encore, d'un passage du jugement indiquant que la victime était « en train de perdre connaissance au moment où des tiers ont mis [le recourant] en fuite », car cela n'exclut pas que la victime ait effectivement perdu connaissance. En tant que l'argumentation présentée porte sur la constatation des faits, elle ne parvient pas à établir l'arbitraire dans l'appréciation des preuves; en tant qu'elle porte sur l'appréciation juridique des faits constatés, elle ne parvient pas à mettre en évidence une application incorrecte de l' art. 129 CP .</w:t>
      </w:r>
    </w:p>
    <w:p>
      <w:r>
        <w:rPr>
          <w:b/>
        </w:rPr>
        <w:t>E. 6</w:t>
      </w:r>
    </w:p>
    <w:p>
      <w:r>
        <w:t>Selon l' art. 47 CP , la peine doit être fixée d'après la culpabilité de l'auteur. Cette disposition confère un large pouvoir d'appréciation au juge de l'action pénale. Saisi d'un recours, le Tribunal fédéral n'intervient que lorsque la sanction infligée excède les limites du cadre légal, lorsque l'autorité précédente s'est laissé guider par des critères dépourvus de pertinence ou a méconnu des aspects importants, ou encore lorsque la peine apparaît exagérément sévère ou indûment clémente, au point que la décision attaquée procède d'un abus du pouvoir d'appréciation ( ATF 136 IV 55 consid. 5.6 p. 61 i.i.; 135 IV 130 consid. 5.3.1 p. 134). L' art. 19 al. 2 CP prévoit l'atténuation de la peine lorsque l'auteur, au moment d'agir, ne possédait que partiellement la faculté d'apprécier le caractère illicite de son acte ou de se déterminer d'après cette appréciation. Selon l' art. 49 al. 2 CP , lorsque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Cela nécessite d'apprécier la peine qui aurait été fixée si toutes les infractions avaient été jugées simultanément; ensuite, la peine complémentaire correspond à la différence entre cette peine hypothétique et la peine déjà prononcée ( ATF 132 IV 102 consid. 8.3 p. 105; 129 IV 113 consid. 1.1 p. 115 i.f.). Le recourant tient la peine de vingt-quatre mois de privation de liberté pour exagérément sévère; il reproche à la Cour d'appel de n'avoir pas suffisamment pris en considération la diminution de sa responsabilité attestée par l'expertise psychiatrique et les deux peines de trente jours et onze mois de privation de liberté déjà prononcées par d'autres tribunaux pour des infractions similaires. Il fait valoir que selon l'expertise psychiatrique, sa santé mentale était altérée depuis probablement plusieurs années; il soutient que si le tribunal de Landquart avait connu le trouble ainsi révélé par cette expertise, il l'aurait puni d'une peine moins sévère en considération de sa responsabilité restreinte. Cet argument ne saurait aboutir car le jugement rendu le 8 mai 2013 à Landquart revêt l'autorité de chose jugée. Aussi dans le cadre de la démarche prescrite par l' art. 49 al. 2 CP , cela exclut une nouvelle appréciation de la durée de la peine alors prononcée ( ATF 133 IV 150 consid. 5.2.1 p. 156). Pour le surplus, la Cour d'appel discute l'agression perpétrée contre l'intimé et elle juge la culpabilité du recourant particulièrement lourde en dépit de la diminution de sa responsabilité; cela n'est pas critiqué. La Cour retient que l'hypothétique peine d'ensemble aurait porté sur trois périodes de séjour illégal et deux agressions, lesquelles ont causé trois blessés dont un grièvement. Cela n'est pas davantage contesté. La Cour estime enfin cette peine d'ensemble à trente-six mois. Comme le recourant le relève lui-même, les lésions corporelles graves peuvent entraîner jusqu'à dix ans de privation de liberté. Dans ce contexte et en dépit de la responsabilité restreinte à reconnaître pour l'agression la plus récente, il n'apparaît pas que la Cour ait méconnu les critères présidant à la fixation de la peine ni abusé de son pouvoir d'appréciation.</w:t>
      </w:r>
    </w:p>
    <w:p>
      <w:r>
        <w:rPr>
          <w:b/>
        </w:rPr>
        <w:t>E. 7</w:t>
      </w:r>
    </w:p>
    <w:p>
      <w:r>
        <w:t>Le recours en matière pénale se révèle privé de fondement, ce qui conduit à son rejet.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aucune chance de succès, ce qui entraîne le rejet de la demande d'assistance judiciaire. A titre de partie qui succombe, le recourant doit acquitter l'émolument à percevoir par le Tribunal fédéral, taxé en considération de sa situation économique.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