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6B_119/2020 vom 5. Februar 2020</w:t>
      </w:r>
    </w:p>
    <w:p>
      <w:r>
        <w:t>Bundesgericht, 2020-02-05, DE</w:t>
      </w:r>
    </w:p>
    <w:p>
      <w:r>
        <w:rPr>
          <w:b/>
        </w:rPr>
        <w:t xml:space="preserve">Quelle: </w:t>
      </w:r>
      <w:r>
        <w:t>https://mcp.opencaselaw.ch/entscheid/bger_6B_119_2020</w:t>
      </w:r>
    </w:p>
    <w:p>
      <w:r>
        <w:t>FR: TF 6B_119/2020 du 5 février 2020</w:t>
      </w:r>
    </w:p>
    <w:p>
      <w:r>
        <w:t>IT: TF 6B_119/2020 del 5 febbraio 2020</w:t>
      </w:r>
    </w:p>
    <w:p>
      <w:pPr>
        <w:pStyle w:val="Heading2"/>
      </w:pPr>
      <w:r>
        <w:t>Erwägungen</w:t>
      </w:r>
    </w:p>
    <w:p>
      <w:r>
        <w:rPr>
          <w:b/>
        </w:rPr>
        <w:t>E. 1</w:t>
      </w:r>
    </w:p>
    <w:p>
      <w:r>
        <w:t>Staatsanwaltschaft des Kantons Basel-Landschaft, Erste Staatsanwältin,</w:t>
      </w:r>
    </w:p>
    <w:p>
      <w:r>
        <w:rPr>
          <w:b/>
        </w:rPr>
        <w:t>E. 2</w:t>
      </w:r>
    </w:p>
    <w:p>
      <w:r>
        <w:t>Beim angefochtenen Entscheid handelt es sich um einen Zwischenentscheid, der das Strafverfahren gegen die Beschwerdeführerin nicht abschliesst, sondern im Gegenteil dessen Fortführung bewirkt.</w:t>
      </w:r>
    </w:p>
    <w:p>
      <w:r>
        <w:t>Gegen selbständig eröffnete Vor- und Zwischenentscheide, die weder die Zuständigkeit noch den Ausstand betreffen, ist die Beschwerde an das Bundesgericht nur zulässig, wenn sie einen nicht wieder gutzumachenden Nachteil bewirken können oder wenn die Gutheissung der Beschwerde sofort einen Endentscheid herbeiführen und damit einen bedeutenden Aufwand an Zeit oder Kosten für ein weitläufiges Beweisverfahren ersparen würde ( Art. 93 Abs. 1 lit. a und b BGG ).</w:t>
      </w:r>
    </w:p>
    <w:p>
      <w:r>
        <w:t>In der Beschwerde muss - sofern das nicht offensichtlich ist - im Einzelnen darlegt werden, weshalb diese Eintretensvoraussetzungen erfüllt sein sollen. Andernfalls genügt die Beschwerde der Begründungspflicht nach Art. 42 Abs. 1 und 2 BGG nicht und es kann darauf nicht eingetreten werden ( BGE 142 III 798 E. 2.2 S. 801; 138 III 46 E. 1.2 S. 47; 137 III 324 E. 1.1 S. 329; 136 IV 92 E. 4 S. 95; je mit Hinweisen).</w:t>
      </w:r>
    </w:p>
    <w:p>
      <w:r>
        <w:rPr>
          <w:b/>
        </w:rPr>
        <w:t>E. 3</w:t>
      </w:r>
    </w:p>
    <w:p>
      <w:r>
        <w:t>Die Beschwerdeführerin äussert sich nicht zu den Eintretensvoraussetzungen von Art. 93 Abs. 1 BGG . Weder behauptet sie, der angefochtene Beschluss bewirke einen nicht wieder gutzumachenden Nachteil ( Art. 93 Abs. 1 lit. a BGG ), noch legt sie dar, durch einen Entscheid des Bundesgerichts könne ein bedeutender Aufwand an Zeit oder Kosten für ein weitläufiges Beweisverfahren erspart werden ( Art. 93 Abs. 1 lit. b BGG ). Beides ist vorliegend auch nicht offensichtlich. Auf die Beschwerde ist mangels einer hinreichenden Begründung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