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119/2016 vom 7. März 2016</w:t>
      </w:r>
    </w:p>
    <w:p>
      <w:r>
        <w:t>Bundesgericht, 2016-03-07, DE</w:t>
      </w:r>
    </w:p>
    <w:p>
      <w:r>
        <w:rPr>
          <w:b/>
        </w:rPr>
        <w:t xml:space="preserve">Quelle: </w:t>
      </w:r>
      <w:r>
        <w:t>https://mcp.opencaselaw.ch/entscheid/bger_6B_119_2016</w:t>
      </w:r>
    </w:p>
    <w:p>
      <w:r>
        <w:t>FR: TF 6B 119/2016 du 7 mars 2016</w:t>
      </w:r>
    </w:p>
    <w:p>
      <w:r>
        <w:t>IT: TF 6B 119/2016 del 7 marzo 2016</w:t>
      </w:r>
    </w:p>
    <w:p>
      <w:pPr>
        <w:pStyle w:val="Heading2"/>
      </w:pPr>
      <w:r>
        <w:t>Regeste</w:t>
      </w:r>
    </w:p>
    <w:p>
      <w:r>
        <w:t>Strafverfahren; Eingabe vom 10. Dezember 2015 | Strafrecht (allgemein)</w:t>
      </w:r>
    </w:p>
    <w:p>
      <w:pPr>
        <w:pStyle w:val="Heading2"/>
      </w:pPr>
      <w:r>
        <w:t>Erwägungen</w:t>
      </w:r>
    </w:p>
    <w:p>
      <w:r>
        <w:rPr>
          <w:b/>
        </w:rPr>
        <w:t>E. 1</w:t>
      </w:r>
    </w:p>
    <w:p>
      <w:r>
        <w:t>Nachdem ein Strafverfahren betreffend Diebstahls mehrerer Flaschen Rotwein und anderer Lebensmittel im Jahre 2014 definitiv abgeschlossen war, wandte sich der rechtskräftig verurteilte Beschwerdeführer am 10. Dezember 2015 nochmals an die Behörden des Kantons Freiburg. Das Kantonsgericht trat am 21. Januar 2016 auf die Eingabe nicht ein, weil sie unzulässig bzw. verspätet war und überdies keine taugliche Begründung enthielt. Der Beschwerdeführer wendet sich ans Bundesgericht. Soweit die Eingabe des Beschwerdeführers überhaupt verständlich ist, scheint er bemängeln zu wollen, dass die seinerzeit beschlagnahmten Flaschen Wein nicht dem "rechtmässigen Besitzer" ausgehändigt worden seien. Inwieweit der angefochtene Entscheid gegen das Recht im Sinne von Art. 95 BGG verstossen könnte, ist den wirren Ausführungen jedoch nicht zu entnehmen. Folglich kann auf die Beschwerde mangels einer tauglichen Begründung im Verfahren nach Art. 108 BGG nicht eingetreten werden.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