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6B_1198/2021 vom 4. Februar 2022</w:t>
      </w:r>
    </w:p>
    <w:p>
      <w:r>
        <w:t>Bundesgericht, 2022-02-04, DE</w:t>
      </w:r>
    </w:p>
    <w:p>
      <w:r>
        <w:rPr>
          <w:b/>
        </w:rPr>
        <w:t xml:space="preserve">Quelle: </w:t>
      </w:r>
      <w:r>
        <w:t>https://mcp.opencaselaw.ch/entscheid/bger_6B_1198_2021</w:t>
      </w:r>
    </w:p>
    <w:p>
      <w:r>
        <w:t>FR: TF 6B_1198/2021 du 4 février 2022</w:t>
      </w:r>
    </w:p>
    <w:p>
      <w:r>
        <w:t>IT: TF 6B_1198/2021 del 4 febbraio 2022</w:t>
      </w:r>
    </w:p>
    <w:p>
      <w:pPr>
        <w:pStyle w:val="Heading2"/>
      </w:pPr>
      <w:r>
        <w:t>Erwägungen</w:t>
      </w:r>
    </w:p>
    <w:p>
      <w:r>
        <w:rPr>
          <w:b/>
        </w:rPr>
        <w:t>E. 1</w:t>
      </w:r>
    </w:p>
    <w:p>
      <w:r>
        <w:t>Nach einer Strafanzeige wegen Datenbeschädigung nahm die Staatsanwaltschaft Winterthur/Unterland eine vom Beschwerdeführer angestrebte Strafuntersuchung am 1. Dezember 2020 nicht an die Hand. Eine dagegen erhobene Beschwerde wies das Obergericht des Kantons Zürich mit Beschluss vom 2. September 2021 ab. Mit Verfügung desselben Datums wurde auch das Gesuch um unentgeltliche Rechtspflege abgewiesen.</w:t>
      </w:r>
    </w:p>
    <w:p>
      <w:r>
        <w:t>Der Beschwerdeführer wendet sich mit Beschwerde an das Bundesgericht. Er beantragt, der Beschluss und die Verfügung der Vorinstanz seien aufzuheben, das Gesuch um unentgeltliche Rechtspflege sei zu bewilligen, die Beschwerde gutzuheissen und das Strafverfahren anhand zu nehmen.</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BGE 141 IV 1 E. 1.1).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zeigt in seiner Beschwerde nicht im Ansatz auf, dass und inwiefern ihm aus dem beanzeigten Verhalten Schadenersatz- oder Genugtuungsansprüche im Sinne von Art. 41 ff. OR zustehen könnten. Solche sind angesichts der Natur der Vorwürfe auch nicht ohne Weiteres ersichtlich. Folglich ist der Beschwerdeführer in der Sache nicht im Sinne von Art. 81 Abs. 1 lit. b Ziff. 5 BGG zur Beschwerde in Strafsachen legitimiert.</w:t>
      </w:r>
    </w:p>
    <w:p>
      <w:r>
        <w:rPr>
          <w:b/>
        </w:rPr>
        <w:t>E. 4</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42 Abs. 2 und Art. 106 Abs. 2 BGG ).</w:t>
      </w:r>
    </w:p>
    <w:p>
      <w:r>
        <w:rPr>
          <w:b/>
        </w:rPr>
        <w:t>E. 5</w:t>
      </w:r>
    </w:p>
    <w:p>
      <w:r>
        <w:t>Der Beschwerdeführer macht geltend, sein Gesuch um unentgeltliche Rechtspflege sei zu Unrecht abgewiesen worden. Die Vorinstanz hätte ihm als Laie Nachfrist für die Einreichung von Belegen über die Mittellosigkeit gewähren müssen. Bei seiner Kritik verkennt er indessen, dass die unentgeltliche Rechtspflege nicht nur mangels erstellter Mittellosigkeit, sondern namentlich wegen Aussichtslosigkeit einer allfälligen Zivilklage und der Rechtsbegehren im Beschwerdeverfahren verweigert wurde. Weshalb die vorinstanzliche Einschätzung der kantonalen Beschwerde als aussichtslos rechtsverletzend im Sinne von Art. 95 BGG sein könnte, zeigt der Beschwerdeführer vor Bundesgericht nicht auf. Er legt auch nicht dar, woraus sich eine Verpflichtung zur Nachfristansetzung ergeben und inwiefern die vorinstanzliche Gesuchsabweisung überspitzt formalistisch sein könnte. Die Beschwerde erfüllt auch in diesem Punkt selbst die an eine Laieneingabe zu stellenden minimalen Begründungsanforderungen nicht ( Art. 42 Abs. 2 BGG ). Weitere formelle Rügen, zu deren Geltendmachung der Beschwerdeführer unbesehen der fehlenden Legitimation in der Sache befugt wäre (sog. "Star-Praxis"; vgl. BGE 141 IV 1 E. 1.1 mit Hinweisen), erhebt er nicht.</w:t>
      </w:r>
    </w:p>
    <w:p>
      <w:r>
        <w:rPr>
          <w:b/>
        </w:rPr>
        <w:t>E. 6</w:t>
      </w:r>
    </w:p>
    <w:p>
      <w:r>
        <w:t>Auf die Beschwerde ist im Verfahren mangels Legitimation und mangels tauglicher Begründung nach Art. 108 BGG nicht einzutreten. Die Gerichtskosten sind ausgangsgemäss dem Beschwerdeführer aufzuerlegen ( Art. 66 Abs. 1 BGG ). Das Gesuch um unentgeltliche Rechtspflege ist in Anwendung von Art. 64 BGG wegen Aussichtslosigkeit der Rechtsbegehren abzuweisen.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