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1197/2018 vom 11. Januar 2019</w:t>
      </w:r>
    </w:p>
    <w:p>
      <w:r>
        <w:t>Bundesgericht, 2019-01-11, DE</w:t>
      </w:r>
    </w:p>
    <w:p>
      <w:r>
        <w:rPr>
          <w:b/>
        </w:rPr>
        <w:t xml:space="preserve">Quelle: </w:t>
      </w:r>
      <w:r>
        <w:t>https://mcp.opencaselaw.ch/entscheid/bger_6B_1197_2018</w:t>
      </w:r>
    </w:p>
    <w:p>
      <w:r>
        <w:t>FR: TF 6B 1197/2018 du 11 janvier 2019</w:t>
      </w:r>
    </w:p>
    <w:p>
      <w:r>
        <w:t>IT: TF 6B 1197/2018 del 11 gennaio 2019</w:t>
      </w:r>
    </w:p>
    <w:p>
      <w:pPr>
        <w:pStyle w:val="Heading2"/>
      </w:pPr>
      <w:r>
        <w:t>Regeste</w:t>
      </w:r>
    </w:p>
    <w:p>
      <w:r>
        <w:t>Nichtanhandnahme; Nichteintreten | Strafprozess</w:t>
      </w:r>
    </w:p>
    <w:p>
      <w:pPr>
        <w:pStyle w:val="Heading2"/>
      </w:pPr>
      <w:r>
        <w:t>Erwägungen</w:t>
      </w:r>
    </w:p>
    <w:p>
      <w:r>
        <w:rPr>
          <w:b/>
        </w:rPr>
        <w:t>E. 1</w:t>
      </w:r>
    </w:p>
    <w:p>
      <w:r>
        <w:t>Die Staatsanwaltschaft Zürich-Limmat nahm am 2. Juni 2018 ein vom Beschwerdeführer angestrebtes Strafverfahren wegen Betrugs nicht an die Hand. Dagegen reichte der Beschwerdeführer Beschwerde ein, worauf das Obergericht des Kantons Zürich, III. Strafkammer, diesen mit Verfügung vom 8. August 2018 in Anwendung von Art. 385 und Art. 110 Abs. 4 StPO zur Überarbeitung der Beschwerde innert fünf Tagen aufforderte, verbunden mit der Androhung, bei Säumnis auf die Beschwerde nicht einzutreten. Auf eine dagegen gerichtete Beschwerde trat die I. öffentlich-rechtliche Abteilung des Bundesgerichts am 26. September 2018 nicht ein (Urteil 1B_424/2018). Am 19. November 2018 trat die III. Strafkammer des Obergerichts mangels einer genügenden Überarbeitung androhungsgemäss auf die Beschwerde nicht ein. Zugleich wurde das Gesuch um unentgeltliche Rechtspflege abgewiesen. Der Beschwerdeführer gelangt an das Bundesgericht.</w:t>
      </w:r>
    </w:p>
    <w:p>
      <w:r>
        <w:rPr>
          <w:b/>
        </w:rPr>
        <w:t>E. 2</w:t>
      </w:r>
    </w:p>
    <w:p>
      <w:r>
        <w:t>Auf das Gesuch um Ausstand des "vollständigen Personalbestands der Strafrechtlichen Abteilung" ist nicht einzutreten. Der Umstand, dass der Beschwerdeführer mit seinen bisherigen Beschwerden am Bundesgericht überwiegend erfolglos blieb, stellt keinen Ausstandsgrund im Sinne von Art. 34 Abs. 1 BGG dar. Bei unzulässigen Ausstandsgesuchen ist kein Verfahren nach Art. 37 BGG durchzuführen.</w:t>
      </w:r>
    </w:p>
    <w:p>
      <w:r>
        <w:rPr>
          <w:b/>
        </w:rPr>
        <w:t>E. 3</w:t>
      </w:r>
    </w:p>
    <w:p>
      <w:r>
        <w:t>Die Beschwerde in Strafsachen muss ein Begehren und eine Begründung enthalten ( Art. 42 Abs. 1 BGG ). In der Beschwerdebegründung ist in gedrängter Form unter Bezugnahme auf den angefochtenen Entscheid darzulegen, inwiefern dieser Recht verletzt ( Art. 42 Abs. 2 BGG ). Anfechtungsobjekt des bundesgerichtlichen Verfahrens ist der kantonal letztinstanzliche Entscheid ( Art. 80 Abs. 1 BGG ).</w:t>
      </w:r>
    </w:p>
    <w:p>
      <w:r>
        <w:rPr>
          <w:b/>
        </w:rPr>
        <w:t>E. 4</w:t>
      </w:r>
    </w:p>
    <w:p>
      <w:r>
        <w:t>Vorliegend kann es nur darum gehen, ob das Obergericht im kantonalen Beschwerdeverfahren zu Unrecht auf die Beschwerde nicht eingetreten ist. Damit befasst sich der Beschwerdeführer trotz des beträchtlichen Umfangs seiner Eingabe nicht rechtsgenüglich. Aus seinen Ausführungen ergibt sich nicht, inwiefern das Obergericht mit dem Nichteintretensentscheid gegen das geltende Recht im Sinne von Art. 95 BGG verstossen haben könnte. Auf die Beschwerde ist mangels einer tauglichen Begründung im Verfahren nach Art. 108 BGG nicht einzutreten.</w:t>
      </w:r>
    </w:p>
    <w:p>
      <w:r>
        <w:rPr>
          <w:b/>
        </w:rPr>
        <w:t>E. 5</w:t>
      </w:r>
    </w:p>
    <w:p>
      <w:r>
        <w:t>Auf die Erhebung von Kosten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