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6B_1193/2017 vom 15. März 2018</w:t>
      </w:r>
    </w:p>
    <w:p>
      <w:r>
        <w:t>Bundesgericht, 2018-03-15, DE</w:t>
      </w:r>
    </w:p>
    <w:p>
      <w:r>
        <w:rPr>
          <w:b/>
        </w:rPr>
        <w:t xml:space="preserve">Quelle: </w:t>
      </w:r>
      <w:r>
        <w:t>https://mcp.opencaselaw.ch/entscheid/bger_6B_1193_2017</w:t>
      </w:r>
    </w:p>
    <w:p>
      <w:r>
        <w:t>FR: TF 6B_1193/2017 du 15 mars 2018</w:t>
      </w:r>
    </w:p>
    <w:p>
      <w:r>
        <w:t>IT: TF 6B_1193/2017 del 15 marzo 2018</w:t>
      </w:r>
    </w:p>
    <w:p>
      <w:pPr>
        <w:pStyle w:val="Heading2"/>
      </w:pPr>
      <w:r>
        <w:t>Erwägungen</w:t>
      </w:r>
    </w:p>
    <w:p>
      <w:r>
        <w:rPr>
          <w:b/>
        </w:rPr>
        <w:t>E. 1</w:t>
      </w:r>
    </w:p>
    <w:p>
      <w:r>
        <w:t>Der Beschwerdeführer rügt eine Verletzung von Art. 410 Abs. 1 lit. a, Art. 412 und Art. 413 StPO sowie eine aktenwidrige Sachverhaltsfeststellung durch die Vorinstanz.</w:t>
      </w:r>
    </w:p>
    <w:p>
      <w:r>
        <w:rPr>
          <w:b/>
        </w:rPr>
        <w:t>E. 1.1.1</w:t>
      </w:r>
    </w:p>
    <w:p>
      <w:r>
        <w:t>Wer durch ein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Mit Beweismitteln wird der Nachweis von Tatsachen erbracht ( BGE 137 IV 59 E. 5.1.1 S. 66). Tatsachen und Beweismittel sind neu, wenn das Gericht im Zeitpunkt der Urteilsfällung keine Kenntnis von ihnen hatte, das heisst, wenn sie ihm nicht in irgendeiner Form unterbreitet worden sind ( BGE 137 IV 59 E. 5.1.2 S. 66 f.; 130 IV 72 E. 1 S. 73).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S. 68; 130 IV 72 E. 1 S. 73).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S. 360 f.).</w:t>
      </w:r>
    </w:p>
    <w:p>
      <w:r>
        <w:rPr>
          <w:b/>
        </w:rPr>
        <w:t>E. 1.1.2</w:t>
      </w:r>
    </w:p>
    <w:p>
      <w:r>
        <w:t>Das Revisionsverfahren gemäss StPO gliedert sich grundsätzlich in zwei Phasen, nämlich eine Vorprüfung ( Art. 412 Abs. 1 und 2 StPO ) sowie eine materielle Prüfung der geltend gemachten Revisionsgründe (Art. 412 Abs. 3 und 4 sowie Art. 413 StPO ). Es handelt sich um ein zweistufiges Verfahren, für welches das Berufungsgericht zuständig ist ( Art. 412 Abs. 1 und 3 StPO ).</w:t>
      </w:r>
    </w:p>
    <w:p>
      <w:r>
        <w:t>Gemäss Art. 412 Abs. 2 StPO tritt das Gericht auf das Revisionsgesuch nicht ein, wenn es offensichtlich unzulässig oder unbegründet ist oder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(Urteil 6B_791/2014 vom 7. Mai 2015 E. 2.2 mit Hinweisen, nicht publ. in: BGE 141 IV 298 ).</w:t>
      </w:r>
    </w:p>
    <w:p>
      <w:r>
        <w:rPr>
          <w:b/>
        </w:rPr>
        <w:t>E. 1.1.3</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Demgegenüber kann die Revision eines Strafbefehls in Betracht kommen wegen wichtiger Tatsachen oder Beweismittel, die der Verurteilte im Zeitpunkt, als der Strafbefehl erging, nicht kannte oder die schon damals geltend zu machen für ihn unmöglich war oder keine Veranlassung bestand ( BGE 130 IV 72 E. 2.3 S. 75 f.). Rechtsmissbrauch ist nur mit Zurückhaltung anzunehmen. Es ist in jedem Einzelfall zu prüfen, ob unter den gegebenen Umständen das Revisionsgesuch dazu dient, den ordentlichen Rechtsweg zu umgehen (vgl. BGE 130 IV 72 E. 2.2 S. 74 und E. 2.4 S. 76).</w:t>
      </w:r>
    </w:p>
    <w:p>
      <w:r>
        <w:rPr>
          <w:b/>
        </w:rPr>
        <w:t>E. 1.2</w:t>
      </w:r>
    </w:p>
    <w:p>
      <w:r>
        <w:t>Der Beschwerdeführer begründet sein Revisionsgesuch damit, dass er neue Zeugen beibringen könne, die im Nachtlokal gewesen seien und die Tat beobachtet hätten. Sie könnten ihn vom Vorwurf entlasten, am Angriff beteiligt gewesen zu sein. Deren Namen seien ihm erst nachträglich nach weiteren Abklärungen bekannt geworden.</w:t>
      </w:r>
    </w:p>
    <w:p>
      <w:r>
        <w:rPr>
          <w:b/>
        </w:rPr>
        <w:t>E. 1.3</w:t>
      </w:r>
    </w:p>
    <w:p>
      <w:r>
        <w:t>Die Vorinstanz erwägt, es sei nicht nachvollziehbar, weshalb der Beschwerdeführer die im Revisionsgesuch dargestellten Nachforschungen nach den Zeugen erst anstellte, nachdem eine Schadenersatzklage gegen ihn erhoben worden sei. Bereits nach Erhalt des ersten Strafbefehls vom 18. Juni 2013 hätte ihm dessen Bedeutung klar sein müssen. Nach Erhalt des zweiten Strafbefehls vom 1. Juli 2014 habe er nochmals Gelegenheit gehabt, Einsprache zu erheben und Nachforschungen nach allfälligen Entlastungszeugen anzustellen.</w:t>
      </w:r>
    </w:p>
    <w:p>
      <w:r>
        <w:t>Zudem habe er bereits bei seiner polizeilichen Befragung ausgesagt, zwei Frauen hätten die tätliche Auseinandersetzung gesehen und könnten seine Aussagen bestätigen. Zwar hätten sie ihn angerufen, doch kenne er sie nicht und nur sie hätten seine Telefonnummer. Die Vorinstanz erwägt, der Beschwerdeführer behaupte nicht, die Nachforschungen seien nicht früher möglich gewesen. Einerseits sei anzunehmen, dass der Anruf auf seinem Mobiltelefon registriert worden sei, andererseits habe er den Mitbeteiligten B.________ gekannt, welcher ihm den Namen einer Zeugin nannte und ihn an D.________ als weiteren möglichen Zeugen erinnert haben solle. Wie aus seinem Revisionsgesuch hervorgehe, habe der Beschwerdeführer auch über dessen Telefonnummer verfügt. Ihn habe nichts daran gehindert, bereits damals entsprechende Nachforschungen zu betreiben.</w:t>
      </w:r>
    </w:p>
    <w:p>
      <w:r>
        <w:rPr>
          <w:b/>
        </w:rPr>
        <w:t>E. 1.4</w:t>
      </w:r>
    </w:p>
    <w:p>
      <w:r>
        <w:t>Wie die Vorinstanz zutreffend erwägt, ist nicht verständlich, weshalb der Beschwerdeführer zwei Mal von einer Einsprache absah und auf die Möglichkeit verzichtete, seine Einwände in einem gerichtlichen Verfahren vorzubringen.</w:t>
      </w:r>
    </w:p>
    <w:p>
      <w:r>
        <w:t>Der Beschwerdeführer selber trägt vor, es sei offensichtlich, dass er ein Interesse daran habe, durch die Aufhebung des Strafbefehls vom 1. Juli 2014 der gegen ihn eingereichten Zivilklage vom 27. Januar 2017 die Klagebasis zu entziehen. Bewog ihn aber erst die Schadenersatzklage, weitere Abklärungen zu treffen, so erscheint das Revisionsgesuch als Mittel, um den ordentlichen Rechtsweg zu umgehen. Jedenfalls kann nicht gesagt werden, dass es für den Beschwerdeführer unmöglich gewesen wäre, Einsprache zu erheben und nach den angeblichen Zeugen zu forschen. Ganz im Gegenteil bestand für den Beschwerdeführer bereits damals konkrete Veranlassung zu den nunmehr behaupteten Nachforschungen.</w:t>
      </w:r>
    </w:p>
    <w:p>
      <w:r>
        <w:rPr>
          <w:b/>
        </w:rPr>
        <w:t>E. 1.5</w:t>
      </w:r>
    </w:p>
    <w:p>
      <w:r>
        <w:t>Die vorinstanzliche Sachverhaltsfeststellung kann nur gerügt werden, wenn die Behebung des Mangels für den Ausgang des Verfahrens entscheidend sein kann ( Art. 97 Abs. 1 BGG ; vgl. auch Art. 105 Abs. 2 BGG ).</w:t>
      </w:r>
    </w:p>
    <w:p>
      <w:r>
        <w:t>Es ist unbestritten, dass der Beschwerdeführer bereits bei seiner polizeilichen Befragung auf Personen hingewiesen hatte, die angeblich seine Unschuld bezeugen könnten. Ob es sich dabei um jene Zeugen handelt, die er in seinem Revisionsgesuch nennt, ist entgegen seiner Ansicht unerheblich. Ohne Belang ist auch, wann der Beschwerdeführer die Namen der Zeugen hätte ausfindig machen können. Denn unabhängig davon hätte er Einsprache erheben und seine Einwände samt Beweisanträgen im ordentlichen Verfahren geltend machen können, weshalb auf seine diesbezüglichen Sachverhaltsrügen nicht einzutreten ist.</w:t>
      </w:r>
    </w:p>
    <w:p>
      <w:r>
        <w:rPr>
          <w:b/>
        </w:rPr>
        <w:t>E. 1.6</w:t>
      </w:r>
    </w:p>
    <w:p>
      <w:r>
        <w:t>Die Vorinstanz erwägt eventualiter, das Revisionsgesuch wäre ohnehin abzuweisen gewesen, weil der Beschwerdeführer es ungenügend begründe. Auf die dagegen gerichteten Rügen des Beschwerdeführers ist nicht einzugehen, da die Vorinstanz auf das Revisionsgesuch zu Recht überhaupt nicht eintrat.</w:t>
      </w:r>
    </w:p>
    <w:p>
      <w:r>
        <w:rPr>
          <w:b/>
        </w:rPr>
        <w:t>E. 2</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