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6B_1193/2015 vom 21. Dezember 2015</w:t>
      </w:r>
    </w:p>
    <w:p>
      <w:r>
        <w:t>Bundesgericht, 2015-12-21, DE</w:t>
      </w:r>
    </w:p>
    <w:p>
      <w:r>
        <w:rPr>
          <w:b/>
        </w:rPr>
        <w:t xml:space="preserve">Quelle: </w:t>
      </w:r>
      <w:r>
        <w:t>https://mcp.opencaselaw.ch/entscheid/bger_6B_1193_2015</w:t>
      </w:r>
    </w:p>
    <w:p>
      <w:r>
        <w:t>FR: TF 6B_1193/2015 du 21 décembre 2015</w:t>
      </w:r>
    </w:p>
    <w:p>
      <w:r>
        <w:t>IT: TF 6B_1193/2015 del 21 dicembre 2015</w:t>
      </w:r>
    </w:p>
    <w:p>
      <w:pPr>
        <w:pStyle w:val="Heading2"/>
      </w:pPr>
      <w:r>
        <w:t>Erwägungen</w:t>
      </w:r>
    </w:p>
    <w:p>
      <w:r>
        <w:rPr>
          <w:b/>
        </w:rPr>
        <w:t>E. 1</w:t>
      </w:r>
    </w:p>
    <w:p>
      <w:r>
        <w:t>Am 26. Januar 2015 suchte eine Drittperson das Domizil des Beschwerdeführers auf, um ihn zum Rückzug einer Strafanzeige zu bewegen (s. dazu das heutige Urteil des Bundesgerichts im Verfahren 6B_1192/2015). Der Beschwerdeführer macht geltend, die ihm damals unbekannte Drittperson hab ihn durch den Türspion hindurch mit eindeutigen Gesten bedroht ("Zeigefinger an seinem Hals mit Hin-und-Her-Bewegungen" und "Hand zu einer Pistole geformt und abgefeuert"). Die Regionale Staatsanwaltschaft Bern-Mittelland stellte das gegen die Drittperson wegen Drohung geführte Verfahren am 1. Juni 2015 ein. Eine dagegen gerichtete Beschwerde wies das Obergericht des Kantons Bern am 13. Oktober 2015 ab, soweit es darauf eintrat (Beschluss BK 15 207 MOR).</w:t>
      </w:r>
    </w:p>
    <w:p>
      <w:r>
        <w:t>Der Beschwerdeführer wendet sich ans Bundesgericht und beantragt, mit dem Verfahren gegen die Drittperson sei fortzufahren.</w:t>
      </w:r>
    </w:p>
    <w:p>
      <w:r>
        <w:rPr>
          <w:b/>
        </w:rPr>
        <w:t>E. 2</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Zivilansprüche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Der Beschwerdeführer äussert sich in seiner Eingabe vor Bundesgericht zu seiner Legitimation und insbesondere zur Frage einer allfälligen Schadenersatz- oder Genugtuungsforderung nicht. Um welchen konkreten Anspruch es gehen könnte, ist im Übrigen gestützt auf den angeklagten Sachverhalt auch nicht ohne Weiteres ersichtlich. Mangels einer auch nur rudimentären Begründung muss davon ausgegangen werden, dass der Beschwerdeführer zum vorliegenden Rechtsmittel nicht legitimiert ist. Darauf ist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Rechtsbegehren aussichtslos erschienen. Der Beschwerdeführer macht geltend, seine finanzielle Situation erlaube es ihm nicht, sich eine Rechtsvertretung zu leisten. Da er jedoch nicht nachweist, bedürftig zu sein, kommt eine Herabsetzung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