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6B_1192/2015 vom 21. Dezember 2015</w:t>
      </w:r>
    </w:p>
    <w:p>
      <w:r>
        <w:t>Bundesgericht, 2015-12-21, DE</w:t>
      </w:r>
    </w:p>
    <w:p>
      <w:r>
        <w:rPr>
          <w:b/>
        </w:rPr>
        <w:t xml:space="preserve">Quelle: </w:t>
      </w:r>
      <w:r>
        <w:t>https://mcp.opencaselaw.ch/entscheid/bger_6B_1192_2015</w:t>
      </w:r>
    </w:p>
    <w:p>
      <w:r>
        <w:t>FR: TF 6B_1192/2015 du 21 décembre 2015</w:t>
      </w:r>
    </w:p>
    <w:p>
      <w:r>
        <w:t>IT: TF 6B_1192/2015 del 21 dicembre 2015</w:t>
      </w:r>
    </w:p>
    <w:p>
      <w:pPr>
        <w:pStyle w:val="Heading2"/>
      </w:pPr>
      <w:r>
        <w:t>Erwägungen</w:t>
      </w:r>
    </w:p>
    <w:p>
      <w:r>
        <w:rPr>
          <w:b/>
        </w:rPr>
        <w:t>E. 1</w:t>
      </w:r>
    </w:p>
    <w:p>
      <w:r>
        <w:t>Der von seiner Ehefrau getrennt lebende Beschwerdeführer klingelte am 26. Januar 2015 an deren Domizil, um den Kinderwagen für den gemeinsamen Sohn abzuholen. Die Türe wurde von der Schwester der Ehefrau geöffnet, worauf es zwischen ihr und dem Beschwerdeführer zu einer Auseinandersetzung kam. Die Regionale Staatsanwaltschaft Bern-Mittelland stellte das gegen die Schwester wegen Beschimpfung, Verleumdung und Tätlichkeiten geführte Verfahren am 1. Juni 2015 ein. Eine dagegen gerichtete Beschwerde wies das Obergericht des Kantons Bern am 13. Oktober 2015 ab (Beschluss BK 15 206 MOR).</w:t>
      </w:r>
    </w:p>
    <w:p>
      <w:r>
        <w:t>Der Beschwerdeführer wendet sich ans Bundesgericht und beantragt, mit dem Verfahren gegen die Schwester sei fortzufahren.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in seiner Eingabe vor Bundesgericht zu seiner Legitimation und insbesondere zur Frage einer allfälligen Schadenersatz- oder Genugtuungsforderung nicht. Um welchen konkreten Anspruch es gehen könnte, ist im Übrigen gestützt auf den angeklagten Sachverhalt auch nicht ohne Weiteres ersichtlich. Mangels einer auch nur rudimentären Begründung muss davon ausgegangen werden, dass der Beschwerdeführer zum vorliegenden Rechtsmittel nicht legitimiert ist. Darauf ist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Beschwerdeführer macht geltend, seine finanzielle Situation erlaube es ihm nicht, sich eine Rechtsvertretung zu leisten. Da er jedoch nicht nachweist, bedürftig zu sein,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