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6B_1190/2018 vom 17. Mai 2019</w:t>
      </w:r>
    </w:p>
    <w:p>
      <w:r>
        <w:t>Bundesgericht, 2019-05-17, DE</w:t>
      </w:r>
    </w:p>
    <w:p>
      <w:r>
        <w:rPr>
          <w:b/>
        </w:rPr>
        <w:t xml:space="preserve">Quelle: </w:t>
      </w:r>
      <w:r>
        <w:t>https://mcp.opencaselaw.ch/entscheid/bger_6B_1190_2018</w:t>
      </w:r>
    </w:p>
    <w:p>
      <w:r>
        <w:t>FR: TF 6B_1190/2018 du 17 mai 2019</w:t>
      </w:r>
    </w:p>
    <w:p>
      <w:r>
        <w:t>IT: TF 6B_1190/2018 del 17 maggio 2019</w:t>
      </w:r>
    </w:p>
    <w:p>
      <w:pPr>
        <w:pStyle w:val="Heading2"/>
      </w:pPr>
      <w:r>
        <w:t>Erwägungen</w:t>
      </w:r>
    </w:p>
    <w:p>
      <w:r>
        <w:rPr>
          <w:b/>
        </w:rPr>
        <w:t>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rPr>
          <w:b/>
        </w:rPr>
        <w:t>E. 1.2</w:t>
      </w:r>
    </w:p>
    <w:p>
      <w:r>
        <w:t>Unter dem Titel "Tatsächliches" macht die Beschwerdeführerin Ausführungen zum Sachverhalt. Sie macht zusammengefasst geltend, sie habe sich nicht freiwillig am Drogenhandel beteiligt, sondern sei durch ihren Ehemann A.________ durch Schläge und Drohungen dazu genötigt worden. Die Vorinstanz qualifiziert diese Darstellung mit eingehender Begründung als Schutzbehauptung und stellt fest, dass sich die Beschwerdeführerin aus eigenem Antrieb am Drogenhandel beteiligt habe (Urteil, S. 17 bis 35). Die Beschwerdeführerin setzt sich nicht ansatzweise mit den Erwägungen der Vorinstanz auseinander. Auf ihre Vorbringen ist deshalb nicht einzutreten.</w:t>
      </w:r>
    </w:p>
    <w:p>
      <w:r>
        <w:rPr>
          <w:b/>
        </w:rPr>
        <w:t>E. 2.1</w:t>
      </w:r>
    </w:p>
    <w:p>
      <w:r>
        <w:t>Die Beschwerdeführerin kritisiert die Strafzumessung. Sie macht geltend, sie habe ausschliesslich auf Grund der Befehle und Drohungen ihres Ehemannes gehandelt. Ausserdem sei ihr Tatbeitrag sehr gering gewesen. Sie sei keineswegs der Kopf der Bande gewesen und habe weder den Einkauf der Ware noch deren Verkauf organisiert. Sie habe lediglich von August bis Oktober 2015 als Geldkurier geamtet. Für diese kurze aufgezwungene Tätigkeit sei eine Freiheitsstrafe von 7 Jahren geradezu absurd und mit dem Grundsatz der Verhältnismässigkeit nicht vereinbar. Auch sei die Drogenmenge zu berichtigen, zumal ihr eine Aktivität vor dem 12. August 2015 nicht nachgewiesen werden könne. Darüber hinaus habe die Vorinstanz nicht hinreichend berücksichtigt, dass sie keine Vorstrafen habe und ein Geständnis abgelegt habe. Die bisherige Haftdauer von drei Jahren reiche aus, um ihr künftig ein Leben in der Legalität zu ermöglichen. Sie habe die Lektion gelernt und werde sich künftig ausschliesslich der Kinderbetreuung widmen. Insbesondere die behinderte Tochter, welche nicht spreche, sei dringend auf den Kontakt zu ihrer Mutter angewiesen.</w:t>
      </w:r>
    </w:p>
    <w:p>
      <w:r>
        <w:rPr>
          <w:b/>
        </w:rPr>
        <w:t>E. 2.2.1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rPr>
          <w:b/>
        </w:rPr>
        <w:t>E. 2.2.2</w:t>
      </w:r>
    </w:p>
    <w:p>
      <w:r>
        <w:t>Die Vorinstanz stellt in tatsächlicher Hinsicht fest, dass die Beschwerdeführerin bereits vor dem 12. August 2015 aus eigenem Antrieb am Drogenhandel teilgenommen hat (Urteil, S. 35 und 47). Überdies stellt die Vorinstanz fest, dass die Beschwerdeführerin in dem ihr vorgeworfenen Handel mit Heroin und Kokain eine aktive und tragende Rolle innehatte (Urteil, S. 39). Die Beschwerdeführerin legt ihren Rügen zur Strafzumessung einen anderen Sachverhalt zugrunde, ohne darzulegen, dass und inwiefern die gegenteiligen Feststellungen der Vorinstanz willkürlich sind. Dies ist unzulässig.</w:t>
      </w:r>
    </w:p>
    <w:p>
      <w:r>
        <w:t>Zum schriftlichen Geständnis der Beschwerdeführerin erwägt die Vorinstanz, dass dieses rein taktisch erfolgt sei. Die Beschwerdeführerin gestehe damit erstmals im Berufungsverfahren nur jene Taten, hinsichtlich welcher sich die Beweislage aufgrund der umfassenden Telefonkontrolle als erdrückend erwiesen habe (Urteil, S. 74 f.). Eine besondere Strafempfindlichkeit, welche eine Strafminderung rechtfertigen könnte, verneint die Vorinstanz auch unter Berücksichtigung der Sprachprobleme eines der Kinder der Beschwerdeführerin (Urteil, S. 75 f.). Die Beschwerdeführerin stellt dem einzig entgegen, dass sie vor ihrem Ehemann Angst gehabt habe und diesen mit einem Geständnis nicht habe belasten wollen. Die Ausführungen der Vorinstanz zur Strafempfindlichkeit lässt die Beschwerdeführerin unerwähnt. Eine solche Begründung entbehrt einer Auseinandersetzung mit den vorinstanzlichen Erwägungen und genügt damit den Anforderungen von Art. 42 Abs. 2 BGG nicht. Vorstrafenlosigkeit ist bei der Strafzumessung neutral zu behandeln ( BGE 136 IV 1 E. 2.6.4). Es ist demnach nicht zu beanstanden, wenn die Vorinstanz dies nicht strafmindernd berücksichtigt hat. Dass die bisher erstandene Haft genüge, um ihr ein Leben in der Legalität zu ermöglichen und sie beabsichtige, sich künftig der Kinderbetreuung zu widmen, lässt die vorinstanzliche Strafzumessung nicht als unangemessen erscheinen. Die Rüge zur Strafzumessung erweist sich als unbegründet, soweit darauf überhaupt eingetreten werden kann.</w:t>
      </w:r>
    </w:p>
    <w:p>
      <w:r>
        <w:rPr>
          <w:b/>
        </w:rPr>
        <w:t>E. 3</w:t>
      </w:r>
    </w:p>
    <w:p>
      <w:r>
        <w:t>Die Beschwerde ist abzuweisen, soweit darauf eingetreten werden kann. Die Beschwerdeführerin trägt die Kosten des Verfahrens ( Art. 66 Abs. 1 BGG ). Das Gesuch der Beschwerdeführerin um unentgeltliche Rechtspflege und Verbeiständung ist abzuweisen, zumal die Beschwerde von vornherein aussichtslos war.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