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6B_118/2020 vom 2. September 2020</w:t>
      </w:r>
    </w:p>
    <w:p>
      <w:r>
        <w:t>Bundesgericht, 2020-09-02, DE</w:t>
      </w:r>
    </w:p>
    <w:p>
      <w:r>
        <w:rPr>
          <w:b/>
        </w:rPr>
        <w:t xml:space="preserve">Quelle: </w:t>
      </w:r>
      <w:r>
        <w:t>https://mcp.opencaselaw.ch/entscheid/bger_6B_118_2020</w:t>
      </w:r>
    </w:p>
    <w:p>
      <w:r>
        <w:t>FR: TF 6B_118/2020 du 2 septembre 2020</w:t>
      </w:r>
    </w:p>
    <w:p>
      <w:r>
        <w:t>IT: TF 6B_118/2020 del 2 settembre 2020</w:t>
      </w:r>
    </w:p>
    <w:p>
      <w:pPr>
        <w:pStyle w:val="Heading2"/>
      </w:pPr>
      <w:r>
        <w:t>Erwägungen</w:t>
      </w:r>
    </w:p>
    <w:p>
      <w:r>
        <w:rPr>
          <w:b/>
        </w:rPr>
        <w:t>E. 1.1</w:t>
      </w:r>
    </w:p>
    <w:p>
      <w:r>
        <w:t>Der Beschwerdeführer beanstandet die Landesverweisung.</w:t>
      </w:r>
    </w:p>
    <w:p>
      <w:r>
        <w:rPr>
          <w:b/>
        </w:rPr>
        <w:t>E. 1.2.1</w:t>
      </w:r>
    </w:p>
    <w:p>
      <w:r>
        <w:t>Das Gericht verweist den Ausländer, der wegen Pornografie im Sinne von Art. 197 Abs. 4 zweiter Satz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t>Art. 66a StGB ist EMRK-konform auszulegen. Die Interessenabwägung im Rahmen der Härtefallklausel von Art. 66a Abs. 2 StGB hat sich daher an der Verhältnismässigkeitsprüfung nach Art. 8 Ziff. 2 EMRK zu orientieren ( BGE 145 IV 161 E. 3.4 S. 166 f.; Urteile 6B_396/2020 vom 11. August 2020 E. 2.4.4; 6B_1070/2018 vom 14. August 2019 E. 6.3.4 mit Hinweisen).</w:t>
      </w:r>
    </w:p>
    <w:p>
      <w:r>
        <w:rPr>
          <w:b/>
        </w:rPr>
        <w:t>E. 1.2.2</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und E. 5.1 S. 96 f.; 144 II 1 E. 6.1 S. 12; Urteil 6B_396/2020 vom 11. August 2020 E. 2.4.3). Zum geschützten Familienkreis gehört in erster Linie die Kernfamilie, d.h. die Gemeinschaft der Ehegatten mit ihren minderjährigen Kindern ( BGE 145 I 227 E. 5.3 S. 233; 144 II 1 E. 6.1 S. 12; Urteil 6B_396/2020 vom 11. August 2020 E. 2.4.3). In den Schutzbereich von Art. 8 EMRK fallen aber auch andere familiäre Verhältnisse, sofern eine genügend nahe, echte und tatsächlich gelebte Beziehung besteht ( BGE 144 II 1 E. 6.1 S. 12 mit Hinweisen).</w:t>
      </w:r>
    </w:p>
    <w:p>
      <w:r>
        <w:rPr>
          <w:b/>
        </w:rPr>
        <w:t>E. 1.3</w:t>
      </w:r>
    </w:p>
    <w:p>
      <w:r>
        <w:t>Die Vorinstanz erwägt, der Beschwerdeführer lebe seit 17 Jahren in der Schweiz. Er habe eine Arbeit und seine engeren Familienangehörigen, namentlich seine Mutter, lebten in der Schweiz. Mit seinen 31 Jahren sei es dem Beschwerdeführer jedoch zuzumuten, sich in Bolivien eine Existenz aufzubauen. Er habe die prägenden Kindheits- und Jugendjahre dort verbracht und sei daher sowohl mit der Landessprache als auch mit den Gepflogenheiten des Landes vertraut. Auch wenn keine seiner Schwestern mehr in Bolivien leben sollte, bestünden dort Kontakte zu ehemaligen Schulkollegen. Diese habe er bei seinem letzten Aufenthalt in Bolivien im Jahr 2016 getroffen und sie könnten ihm bei der Wiedereingliederung behilflich sein. Er verfüge über eine reichhaltige Berufserfahrung in der Gastronomie, welche ihm eine angemessene Berufsausübung ermögliche. Ein Neuanfang in Bolivien werde zweifellos erhebliche persönliche Einschränkungen für den Beschwerdeführer mit sich bringen, zumal dieser nun eine Freundin in der Schweiz habe und der Kontakt zu seiner Mutter und seinem kleinen Freundeskreis in der Schweiz eingeschränkt werde. Das starke öffentliche Interesse, dass der Beschwerdeführer in der Schweiz keine Delikte mehr begehen werde, überwiege jedoch das persönliche Interesse am Verbleib in der Schweiz deutlich.</w:t>
      </w:r>
    </w:p>
    <w:p>
      <w:r>
        <w:rPr>
          <w:b/>
        </w:rPr>
        <w:t>E. 1.4</w:t>
      </w:r>
    </w:p>
    <w:p>
      <w:r>
        <w:t>Was der Beschwerdeführer vorbringt, vermag die vorinstanzlichen Erwägungen nicht in Frage zu stellen. Der Beschwerdeführer weist darauf hin, als Kind zwei Jahre in der Schweiz verbracht zu haben (mit vier und acht Jahren) und seit seinem 14. Lebensjahr in der Schweiz zu leben. Ob ein Härtefall vorliegt, entscheidet sich weder anhand von starren Altersvorgaben, noch führt eine bestimmte Anwesenheitsdauer automatisch zur Annahme eines Härtefalls ( BGE 146 IV 105 E. 3.4). So hat das Bundesgericht das Vorliegen eines Härtefalls für einen chilenischen Staatsangehörigen, der im Alter von 13 Jahren in die Schweiz kam und unterdurchschnittlich bis normal integriert war, verneint (vgl. BGE 146 IV 105 E. 3.5). Zu prüfen bleiben die weiteren Integrationskriterien. Unter Berücksichtigung der guten Deutschkenntnisse, Arbeitstätigkeit und fehlenden Straffälligkeit ist davon auszugehen, dass der Beschwerdeführer sich während seines 17-jährigen Aufenthalts in der Schweiz grundsätzlich gut integriert hat. Der Beschwerdeführer kann sich indes weder auf den Schutz einer Kernfamilie berufen, noch legt er dar, dass zu seinen in der Schweiz lebenden Familienangehörigen, insbesondere seiner Mutter, ein über die üblichen familiären Beziehungen bzw. emotionalen Bindungen hinausgehendes, besonderes Abhängigkeitsverhältnis besteht (vgl. oben E. 1.2.2).</w:t>
      </w:r>
    </w:p>
    <w:p>
      <w:r>
        <w:t>Nichts für sich ableiten kann der Beschwerdeführer aus seinem Hinweis auf das Urteil 6B_48/2019 vom 9. August 2019 E. 2.6, wonach ab einer zehnjährigen Aufenthaltsdauer regelmässig davon auszugehen sei, dass die sozialen Beziehungen im betreffenden Land so eng geworden seien, dass es für eine Aufenthaltsbeendigung besonderer Gründe bedürfe. Nach dem Willen des Gesetzgebers ist ein derartiger Grund in der begangenen Katalogstraftat im Sinne von Art. 66a Abs. 1 StGB zu erkennen (vgl. Urteil 6B_627/2018 vom 22. März 2019 E. 1.4).</w:t>
      </w:r>
    </w:p>
    <w:p>
      <w:r>
        <w:t>Im Übrigen waren bei der vorinstanzlichen Verneinung des Härtefalls die intakten Wiedereingliederungschancen in Bolivien ausschlaggebend. Die Vorinstanz hat in diesem Zusammenhang zurecht das Alter des Beschwerdeführers sowie seine Sprachkenntnisse und Berufserfahrung berücksichtigt. Betreffend die vorinstanzlichen Erwägungen zu seinem sozialen Netz in Bolivien wendet der Beschwerdeführer ein, keinen vertieften Kontakt mit seinen ehemaligen Schulfreunden in Bolivien zu haben. Diesbezüglich von Bedeutung ist, dass zumindest ein gewisses Beziehungsnetz im Zielland vorhanden ist. Dass die Wirtschaftslage im Zielland schwieriger als in der Schweiz ist, vermag die strafrechtliche Landesverweisung nicht zu hindern (Urteil 6B_1314/2019 vom 9. März 2020 E. 2.3 mit Hinweisen). Ein schwerer persönlicher Härtefall im Sinne der ersten Voraussetzung von Art. 66a Abs. 2 StGB ist zu verneinen.</w:t>
      </w:r>
    </w:p>
    <w:p>
      <w:r>
        <w:rPr>
          <w:b/>
        </w:rPr>
        <w:t>E. 1.5</w:t>
      </w:r>
    </w:p>
    <w:p>
      <w:r>
        <w:t>Der Beschwerdeführer macht ferner geltend, die Anordnung der Landesverweisung verletze sein Recht auf Achtung des Privat- und Familienlebens nach Art. 8 EMRK . Berührt die Landesverweisung Gewährleistungen von Art. 8 Ziff. 1 EMRK , sind die Voraussetzungen von Art. 8 Ziff. 2 EMRK , insbesondere die Verhältnismässigkeit der Massnahme, zu prüfen ( BGE 146 IV 106 E. 4.2 mit Hinweisen). Bezüglich der persönlichen Situation des Beschwerdeführers ist auf das bereits Ausgeführte zu verweisen (oben E. 1.4). Betreffend das öffentliche Interesse wesentlich ist, dass gemäss vorinstanzlichen Erwägungen von einem sehr hohen Rückfallrisiko für gleichartige Tathandlungen (illegale Pornografie) sowie von einem kurzfristig geringen und mittel- und langfristig eindeutig erhöhten Risiko für ein sog. «Hands-on-Delikt», d.h. einer sexuellen Handlung mit einem Kind, auszugehen ist. Das öffentliche Interesse an der Verhinderung von derartigen Tathandlungen ist äusserst stark zu gewichten. Der Beschwerdeführer wendet ein, aufgrund des gemäss psychiatrischem Gutachten erfolgsversprechenden Behandlungsansatzes sowie seiner Resozialisierungschancen sei das öffentliche Interesse an der Landesverweisung zu relativieren. Die mit einer gewissen Unsicherheit behafteten Behandlungschancen sowie seine Resozialisierungschancen vermögen vor dem Hintergrund der eindeutig negativen Legalprognose indes nicht zu genügen, um das starke öffentliche Interesse an der Verhinderung erneuter einschlägiger Tathandlungen massgebend zu mindern. Die Vorinstanz ist zurecht zum Schluss gekommen, dass das öffentliche Interesse an der Landesverweisung das private Interesse des Beschwerdeführers am Verbleib in der Schweiz überwiegt. Demnach verletzt die Landesverweisung weder Art. 66a Abs. 2 StGB noch Art. 8 EMRK .</w:t>
      </w:r>
    </w:p>
    <w:p>
      <w:r>
        <w:rPr>
          <w:b/>
        </w:rPr>
        <w:t>E. 2</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