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6B_1188/2017 vom 5. Juni 2018</w:t>
      </w:r>
    </w:p>
    <w:p>
      <w:r>
        <w:t>Bundesgericht, 2018-06-05, FR</w:t>
      </w:r>
    </w:p>
    <w:p>
      <w:r>
        <w:rPr>
          <w:b/>
        </w:rPr>
        <w:t xml:space="preserve">Quelle: </w:t>
      </w:r>
      <w:r>
        <w:t>https://mcp.opencaselaw.ch/entscheid/bger_6B_1188_2017</w:t>
      </w:r>
    </w:p>
    <w:p>
      <w:r>
        <w:t>FR: TF 6B_1188/2017 du 5 juin 2018</w:t>
      </w:r>
    </w:p>
    <w:p>
      <w:r>
        <w:t>IT: TF 6B_1188/2017 del 5 giugno 2018</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rPr>
          <w:b/>
        </w:rPr>
        <w:t>E. 1.2</w:t>
      </w:r>
    </w:p>
    <w:p>
      <w:r>
        <w:t>En l'espèce, le recourant indique vouloir réclamer aux intimés le remboursement de ses "frais de défense" qu'il chiffre à 23'500 francs. Toutefois, comme la jurisprudence l'a rappelé à maintes reprises, les frais liés aux démarches judiciaires de la partie plaignante ne sauraient constituer des prétentions civiles au sens de l'art. 81 al. 1 let. b ch. 5 LTF (cf. arrêts 6B_51/2018 du 11 avril 2018 consid. 2.1; 6B_768/2013 du 12 novembre 2013 consid. 1.3).</w:t>
      </w:r>
    </w:p>
    <w:p>
      <w:r>
        <w:rPr>
          <w:b/>
        </w:rPr>
        <w:t>E. 1.3</w:t>
      </w:r>
    </w:p>
    <w:p>
      <w:r>
        <w:t>Le recourant sollicite par ailleurs des intimés, conjointement et solidairement entre eux, le paiement d'une indemnité pour tort moral qu'il chiffre à 20'000 francs. L'intéressé, âgé de 78 ans, précise que les "pressions exercées sur sa personne l'ont profondément affecté" et soutient avoir subi de "graves crises d'asthme" après s'être vu notifier un commandement de payer portant sur une somme très importante. Il souligne encore que la plainte pénale a donné lieu à une perquisition à son domicile, qu'il qualifie de "traumatisante".</w:t>
      </w:r>
    </w:p>
    <w:p>
      <w:r>
        <w:t>Les prétentions que le recourant fait valoir ne constituent pas des créances de droit public, lesquelles sont en principe exclues du champ d'application de l' art. 81 LTF ( ATF 138 IV 86 consid. 3.1 p. 88; arrêt 6B_1163/2017 du 10 avril 2018 consid. 1.3). En effet, même si l'administrateur officiel est désigné par une autorité, il exerce une fonction de nature privée, de sorte que sa responsabilité doit être régie par les art. 41 ss et 398 ss CO , appliqués par analogie (PAUL-HENRI STEINAUER, Le droit des successions, 2</w:t>
      </w:r>
    </w:p>
    <w:p>
      <w:r>
        <w:t>e éd., p. 470; KARRER/ VOGT/LEU, Basler Kommentar, 5</w:t>
      </w:r>
    </w:p>
    <w:p>
      <w:r>
        <w:t>e éd., n° 67 ad art. 554 CC et n° 38 ad art. 595 CC ; cf. également s'agissant de l'exécuteur testamentaire [ art. 517 al. 1 CC ] : ATF 142 III 9 consid. 4.1 p. 10; ATF 101 II 47 consid. 2 p. 53).</w:t>
      </w:r>
    </w:p>
    <w:p>
      <w:r>
        <w:t>Dans ces circonstances, il convient d'admettre que la décision attaquée pourrait avoir des effets sur le jugement des prétentions civiles du recourant. Il est ainsi habilité à recourir sur le fond au Tribunal fédéral.</w:t>
      </w:r>
    </w:p>
    <w:p>
      <w:r>
        <w:rPr>
          <w:b/>
        </w:rPr>
        <w:t>E. 2</w:t>
      </w:r>
    </w:p>
    <w:p>
      <w:r>
        <w:t>Invoquant une violation de l' art. 303 CP , le recourant conteste le classement prononcé s'agissant de l'accusation de dénonciation calomnieuse visant l'intimé X.________. Il reproche à la cour cantonale de ne pas avoir retenu qu'au moment du dépôt de la plainte pénale, l'intimé savait qu'il était innocent du vol de bijoux dont il l'accusait.</w:t>
      </w:r>
    </w:p>
    <w:p>
      <w:r>
        <w:rPr>
          <w:b/>
        </w:rPr>
        <w:t>E. 2.1</w:t>
      </w:r>
    </w:p>
    <w:p>
      <w:r>
        <w:t>Selon l' art. 319 al. 1 let. b CPP , le ministère public ordonne le classement de tout ou partie de la procédure lorsque les éléments constitutifs d'une infraction ne sont pas réunis. Sa décision doit respecter le principe "in dubio pro duriore" en vertu duquel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2.3.2; 138 IV 86 consid. 4.1.2 p. 91; 186 consid 4.1 p. 190).</w:t>
      </w:r>
    </w:p>
    <w:p>
      <w:r>
        <w:rPr>
          <w:b/>
        </w:rPr>
        <w:t>E. 2.2.1</w:t>
      </w:r>
    </w:p>
    <w:p>
      <w:r>
        <w:t>L' art. 303 ch. 1 al. 1 CP réprime le comportement de celui qui aura dénoncé à l'autorité, comme auteur d'un crime ou d'un délit, une personne qu'il savait innocente, en vue de faire ouvrir contre elle une poursuite pénale.</w:t>
      </w:r>
    </w:p>
    <w:p>
      <w:r>
        <w:t>Est notamment considéré comme "innocent" celui qui a été libéré par un jugement d'acquittement ou par le prononcé d'un classement. Le juge de la dénonciation calomnieuse est lié par une telle décision ( ATF 136 IV 170 consid. 2.1 p. 176).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 ATF 136 IV 170 consid. 2.1 p. 176 s.; arrêt 6B_324/2015 du 14 janvier 2016 consid. 2.1).</w:t>
      </w:r>
    </w:p>
    <w:p>
      <w:r>
        <w:rPr>
          <w:b/>
        </w:rPr>
        <w:t>E. 2.2.2</w:t>
      </w:r>
    </w:p>
    <w:p>
      <w:r>
        <w:t>Déterminer ce qu'une personne a su, voulu, envisagé ou accepté relève de la constatation de faits, qui lie le Tribunal fédéral ( art. 105 al. 1 LTF ), à moins qu'elle n'ait été faite de façon manifestement inexacte, à savoir arbitraire ( art. 9 Cst. ; ATF 141 IV 369 consid. 6.3 p. 375).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p. 375; 135 IV 152 consid. 2.3.2 p. 156).</w:t>
      </w:r>
    </w:p>
    <w:p>
      <w:r>
        <w:rPr>
          <w:b/>
        </w:rPr>
        <w:t>E. 2.3</w:t>
      </w:r>
    </w:p>
    <w:p>
      <w:r>
        <w:t>L'autorité précédente a retenu qu'en sa qualité d'administrateur d'office de la succession, l'intimé X.________ avait pour mission de dresser l'inventaire de la succession et qu'il lui incombait par conséquent non seulement de répertorier, mais aussi d'évaluer tout actif susceptible d'entrer dans la masse successorale. Ainsi, après une première interpellation adressée au recourant par la Justice de paix, l'administrateur d'office avait mis l'intéressé en demeure de lui remettre les bijoux ou de les faire évaluer par un expert agréé par les tribunaux. C'était ensuite devant le refus persistant du recourant de se plier aux exigences légales que l'intimé X.________ avait demandé et obtenu de la Justice de paix l'autorisation d'entreprendre des actions judiciaires, tant sur le plan civil que pénal. Dans ce contexte, il ne pouvait pas être retenu que l'administrateur d'office avait d'emblée su que le recourant était innocent d'une appropriation indue de bijoux, dont la rétention donnait, de bonne foi, toutes les apparences.</w:t>
      </w:r>
    </w:p>
    <w:p>
      <w:r>
        <w:rPr>
          <w:b/>
        </w:rPr>
        <w:t>E. 2.4</w:t>
      </w:r>
    </w:p>
    <w:p>
      <w:r>
        <w:t>Le recourant prétend que les bijoux ne constituaient pas un actif susceptible d'entrer dans la masse successorale, étant donné qu'ils n'avaient qu'une valeur sentimentale, la défunte ayant insisté, deux jours avant son décès, pour que sa tutrice lui remette ces objets en son souvenir. Il explique avoir informé l'administrateur de ce qui précède, pièces à l'appui, en réponse à sa mise en demeure. En soutenant que les explications qu'il a données à l'administrateur d'office ont permis à ce dernier d'en conclure qu'il était devenu propriétaire des bijoux et que ceux-ci ne devaient pas être inventoriés, le recourant s'en prend à l'appréciation des preuves opérée par la cour cantonale, dans une démarche appellatoire et partant irrecevable dans le recours en matière pénale ( art. 106 al. 2 LTF ). Au surplus, il perd de vue que l'exigence de procéder à l'évaluation des bijoux émanait également de la Justice de paix, qui lui avait non seulement rappelé ses obligations, mais qui avait également autorisé l'administrateur à entreprendre des démarches judiciaires en vue de récupérer les bijoux.</w:t>
      </w:r>
    </w:p>
    <w:p>
      <w:r>
        <w:t>C'est également en vain que le recourant soutient avoir informé l'administrateur du fait que les bijoux avaient déjà été évalués par la Caisse cantonale de prêts sur gage, qui les avait alors estimés à 500 francs. Dans la mesure où cette estimation avait été réalisée plus de dix ans auparavant en vue de l'octroi d'un prêt sur gage, le refus de l'administrateur d'en tenir compte pouvait en effet s'expliquer par le fait que celle-ci ne lui avait pas semblé suffisamment concluante au moment d'établir la valeur devant être portée à l'inventaire de la succession. Enfin, la volonté du recourant de compenser la valeur des bijoux avec de prétendues créances successorales n'était pas encore susceptible de justifier le refus de procéder à leur évaluation, pour laquelle il n'était pas nécessaire qu'il remette les objets litigieux à l'administrateur, ce dernier lui ayant proposé qu'il les adresse lui-même à un spécialiste agréé.</w:t>
      </w:r>
    </w:p>
    <w:p>
      <w:r>
        <w:t>En définitive, le recourant ne parvient pas à démontrer en quoi la cour cantonale a versé dans l'arbitraire en retenant que l'administrateur d'office ne savait pas le recourant innocent du vol de bijoux au moment du dépôt de la plainte pénale.</w:t>
      </w:r>
    </w:p>
    <w:p>
      <w:r>
        <w:rPr>
          <w:b/>
        </w:rPr>
        <w:t>E. 2.5</w:t>
      </w:r>
    </w:p>
    <w:p>
      <w:r>
        <w:t>Faute d'élément laissant supposer que, sur le plan subjectif, l'infraction de dénonciation calomnieuse était réalisée, c'est sans violer le droit fédéral que la cour cantonale a classé la procédure pénale en vertu de l' art. 319 al. 1 let. b CPP . Le grief doit être rejeté.</w:t>
      </w:r>
    </w:p>
    <w:p>
      <w:r>
        <w:rPr>
          <w:b/>
        </w:rPr>
        <w:t>E. 3</w:t>
      </w:r>
    </w:p>
    <w:p>
      <w:r>
        <w:t>Le recourant conteste également le classement de la procédure pénale pour le chef de prévention de tentative de contrainte.</w:t>
      </w:r>
    </w:p>
    <w:p>
      <w:r>
        <w:rPr>
          <w:b/>
        </w:rPr>
        <w:t>E. 3.1</w:t>
      </w:r>
    </w:p>
    <w:p>
      <w:r>
        <w:t>Se rend coupable de contrainte selon l' 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 ATF 101 IV 42 consid. 3a p. 44),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consid. 1a p. 325; 120 IV 17 consid. 2a/aa p. 19).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s.; 137 IV 326 consid. 3.3.1 p. 328;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6B_70/2016 du 2 juin 2016 consid. 4.3.4 non publié aux ATF 142 IV 315 ). Certes, faire notifier un commandement de payer lorsqu'on est fondé à réclamer une somme est licite. En revanche, utiliser un tel procédé comme moyen de pression est clairement abusif, donc illicite (cf. ATF 115 III 18 consid. 3, 81 consid. 3b; arrêt 6B_153/2017 du 28 novembre 2017 consid. 3.1).</w:t>
      </w:r>
    </w:p>
    <w:p>
      <w:r>
        <w:rPr>
          <w:b/>
        </w:rPr>
        <w:t>E. 3.2</w:t>
      </w:r>
    </w:p>
    <w:p>
      <w:r>
        <w:t>La cour cantonale a estimé en substance qu'en notifiant un commandement de payer pour recouvrer une créance de la succession à l'égard du recourant, l'administrateur d'office avait agi en conformité avec les tâches qui lui incombaient, de sorte qu'il n'avait pas poursuivi un but illicite et n'avait pas utilisé de moyens disproportionnés pour atteindre ce but. Une condamnation de l'intimé X.________ pour tentative de contrainte était en conséquence exclue.</w:t>
      </w:r>
    </w:p>
    <w:p>
      <w:r>
        <w:rPr>
          <w:b/>
        </w:rPr>
        <w:t>E. 3.3</w:t>
      </w:r>
    </w:p>
    <w:p>
      <w:r>
        <w:t>Le recourant fait valoir qu'une éventuelle prétention de la succession à son égard n'est susceptible d'exister qu'au cas où sa qualité de légataire lui est déniée à l'issue de la procédure civile l'opposant à E.________. Cette procédure étant toujours en cours, la succession ne dispose selon le recourant en l'état d'aucune créance à son encontre, de sorte que l'envoi d'une réquisition de poursuite par l'administrateur d'office était illicite, une telle démarche n'ayant visé qu'à le faire céder pour qu'il accepte de conclure une transaction dans le cadre de la procédure civile. Il se prévaut également du fait que la constitution d'un gage immobilier avait été autorisée par la Justice de paix préalablement à l'entrée en fonction de l'intimé X.________.</w:t>
      </w:r>
    </w:p>
    <w:p>
      <w:r>
        <w:t>Il ressort des constatations de fait prises souverainement par la cour cantonale ( art. 105 al. 1 LTF ) que des actifs successoraux avaient servi à rembourser à la banque concernée, à hauteur de 428'000 fr., le prêt hypothécaire garanti par un gage sur l'immeuble de D.________. Il ressort également du jugement entrepris que le recourant avait bénéficié de ce prêt à des fins personnelles. Or, en sa qualité d'administrateur d'office, la mission essentielle de l'intimé X.________ consistait à conserver la substance de la succession, dans l'intérêt de tous les successeurs et de tous les créanciers. Dans ce cadre, il avait la faculté d'intervenir en justice (comme demandeur ou comme défendeur) et dans l'exécution forcée pour faire reconnaître les créances et les autres droits dépendants de la succession (cf. STEINAUER, op. cit., p. 470 s.; CAROLINE SCHULER-BUCHE, L'exécuteur testamentaire, l'administrateur officiel et le liquidateur officiel : étude et comparaison, thèse, Lausanne 2003, p. 168 et les références citées; cf. également ATF 79 II 113 consid. 4 p. 116).</w:t>
      </w:r>
    </w:p>
    <w:p>
      <w:r>
        <w:t>Dès lors que l'envoi de la réquisition de poursuite visait à recouvrer le montant remboursé par la succession à la place du recourant et ainsi à préserver l'actif successoral, une telle démarche n'était pas illicite. En outre, dans la mesure où la poursuite ne portait pas sur un montant supérieur à celui qui a été remboursé par la succession, la démarche n'était pas disproportionnée. Dans ce contexte, le commandement de payer ne constitue pas un moyen de pression abusif. Il est enfin sans pertinence que l'octroi du prêt et la mise en gage de l'immeuble avaient initialement été approuvés par la Justice de paix. Dans ses développements, le recourant paraît ainsi confondre la prétention de la succession à son égard avec les droits sur la succession auxquels il pourrait prétendre si sa qualité de légataire est reconnue au terme de la procédure civile l'opposant à la demi-soeur de la défunte.</w:t>
      </w:r>
    </w:p>
    <w:p>
      <w:r>
        <w:t>Il s'ensuit que la cour cantonale n'a pas violé le droit fédéral en considérant que l'intimé avait agi de manière licite, de sorte que le classement de la procédure pénale pour tentative de contrainte en vertu de l' art. 319 al. 1 let. b CPP se justifiait. Le grief doit donc être rejeté.</w:t>
      </w:r>
    </w:p>
    <w:p>
      <w:r>
        <w:rPr>
          <w:b/>
        </w:rPr>
        <w:t>E. 4</w:t>
      </w:r>
    </w:p>
    <w:p>
      <w:r>
        <w:t>Compte tenu du classement de la procédure pénale concernant l'intimé X.________ et du caractère accessoire des actes d'instigation reprochés à l'intimé Y.________ par rapport aux infractions principales (cf. ATF 115 IV 230 consid. 2b p. 232), la cour cantonale n'a pas non plus violé le droit fédéral en confirmant le classement de la procédure visant ce dernier s'agissant du chef de prévention d'instigation à dénonciation calomnieuse et à tentative de contrainte.</w:t>
      </w:r>
    </w:p>
    <w:p>
      <w:r>
        <w:rPr>
          <w:b/>
        </w:rPr>
        <w:t>E. 5</w:t>
      </w:r>
    </w:p>
    <w:p>
      <w:r>
        <w:t>Dans un dernier moyen, le recourant soutient que l'arrêt entrepris est arbitraire "dans son résultat". Il se limite toutefois à exposer une nouvelle fois sa propre version des faits et à présenter son appréciation personnelle des circonstances d'espèce dans une démarche purement appellatoire ( art. 106 al. 2 LTF ) et partant irrecevable dans le recours en matière pénale.</w:t>
      </w:r>
    </w:p>
    <w:p>
      <w:r>
        <w:rPr>
          <w:b/>
        </w:rPr>
        <w:t>E. 6</w:t>
      </w:r>
    </w:p>
    <w:p>
      <w:r>
        <w:t>Il s'ensuit que le recours doit être rejeté dans la mesure où il est recevable. Le recourant, qui succombe, supportera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