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6B_1188/2016 vom 15. Juni 2017</w:t>
      </w:r>
    </w:p>
    <w:p>
      <w:r>
        <w:t>Bundesgericht, 2017-06-15, DE</w:t>
      </w:r>
    </w:p>
    <w:p>
      <w:r>
        <w:rPr>
          <w:b/>
        </w:rPr>
        <w:t xml:space="preserve">Quelle: </w:t>
      </w:r>
      <w:r>
        <w:t>https://mcp.opencaselaw.ch/entscheid/bger_6B_1188_2016</w:t>
      </w:r>
    </w:p>
    <w:p>
      <w:r>
        <w:t>FR: TF 6B_1188/2016 du 15 juin 2017</w:t>
      </w:r>
    </w:p>
    <w:p>
      <w:r>
        <w:t>IT: TF 6B_1188/2016 del 15 giugno 2017</w:t>
      </w:r>
    </w:p>
    <w:p>
      <w:pPr>
        <w:pStyle w:val="Heading2"/>
      </w:pPr>
      <w:r>
        <w:t>Erwägungen</w:t>
      </w:r>
    </w:p>
    <w:p>
      <w:r>
        <w:rPr>
          <w:b/>
        </w:rPr>
        <w:t>E. 1.1</w:t>
      </w:r>
    </w:p>
    <w:p>
      <w:r>
        <w:t>Der Beschwerdeführer rügt, dass die Teileinstellungsverfügung nie richtig zugestellt worden sei. Die Beschwerdefrist habe überhaupt nicht zu laufen begonnen; sie könne deshalb auch nicht wiederhergestellt werden. Die Vorinstanz hätte demnach die Frage, ob eine rechtswirksame Zustellung erfolgt sei, nicht offenlassen dürfen. Der Beschwerdeführer macht diesbezüglich geltend, dass er anwaltlich vertreten gewesen sei, weshalb die Zustellung rechtsgültig nur an seinen Rechtsbeistand hätte erfolgen dürfen.</w:t>
      </w:r>
    </w:p>
    <w:p>
      <w:r>
        <w:rPr>
          <w:b/>
        </w:rPr>
        <w:t>E. 1.2</w:t>
      </w:r>
    </w:p>
    <w:p>
      <w:r>
        <w:t>Ein nicht rechtsgültig zugestellter Entscheid entfaltet keine Rechtswirkung; Fristen werden nicht ausgelöst. Einem Betroffenen kann folglich auch nicht vorgehalten werden, er habe eine Frist verpasst. Eine Wiederherstellung zufolge versäumter Fristen im Sinne von Art. 94 StPO fällt insoweit ausser Betracht ( BGE 142 IV 201 E. 2.4). Die in Art. 94 Abs. 2 StPO geregelten Bedingungen zur Fristwiederherstellung kommen ebenfalls nur zur Anwendung, wenn der zur Diskussion stehende Entscheid rechtsgültig eröffnet worden ist. Dem Beschwerdeführer ist daher insofern zuzustimmen, als die Vorinstanz nicht davon absehen hätte dürfen, zu bestimmen, ob die Teileinstellungsverfügung der Staatsanwaltschaft korrekt zugestellt worden war.</w:t>
      </w:r>
    </w:p>
    <w:p>
      <w:r>
        <w:t>Der Beschwerdeführer wurde am 3. September 2015 von der Polizei als Beschuldigter befragt; sein amtlicher Verteidiger war an der Einvernahme anwesend (kantonale Akten, act. 3/14). Am selben Tag stellte der Beschwerdeführer einen Strafantrag gegen X.________ (kantonale Akten, act. 3/4). Dem entsprechenden Formular, welches nicht Teil des Einvernahmeprotokolls ist, ist nicht zu entnehmen, dass sich der Beschwerdeführer in diesem Zusammenhang anwaltlich vertreten liess. Ausserdem bezieht sich die (amtliche) Verteidigung als solche einzig auf jenes Verfahren, in welchem der Betroffene beschuldigt ist und nicht auf allfällige andere Verfahren (vgl. Art. 128 ff. StPO ; Urteil 1B_196/2014 vom 8. Juli 2014 E. 3.2). Dass die Staatsanwaltschaft ihre Verfügung dem Beschwerdeführer persönlich eröffnete, ist somit richtig. Der Beschwerdeführer räumt ein, die zweite, per A-Post erfolgte Sendung der Staatsanwaltschaft erhalten zu haben (Beschwerde, S. 6), womit die Teileinstellungsverfügung ihm gegenüber rechtsgültig eröffnet worden ist ( BGE 142 IV 125 E. 4.3; Urteil 6B_390/2013 vom 6. Februar 2014 E. 2.3.2; je mit Hinweisen). Die Rüge ist unbegründet.</w:t>
      </w:r>
    </w:p>
    <w:p>
      <w:r>
        <w:rPr>
          <w:b/>
        </w:rPr>
        <w:t>E. 2</w:t>
      </w:r>
    </w:p>
    <w:p>
      <w:r>
        <w:t>Die Beschwerde ist abzuweisen. 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