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1185/2017 vom 11. Dezember 2017</w:t>
      </w:r>
    </w:p>
    <w:p>
      <w:r>
        <w:t>Bundesgericht, 2017-12-11, FR</w:t>
      </w:r>
    </w:p>
    <w:p>
      <w:r>
        <w:rPr>
          <w:b/>
        </w:rPr>
        <w:t xml:space="preserve">Quelle: </w:t>
      </w:r>
      <w:r>
        <w:t>https://mcp.opencaselaw.ch/entscheid/bger_6B_1185_2017</w:t>
      </w:r>
    </w:p>
    <w:p>
      <w:r>
        <w:t>FR: TF 6B 1185/2017 du 11 décembre 2017</w:t>
      </w:r>
    </w:p>
    <w:p>
      <w:r>
        <w:t>IT: TF 6B 1185/2017 del 11 dicembre 2017</w:t>
      </w:r>
    </w:p>
    <w:p>
      <w:pPr>
        <w:pStyle w:val="Heading2"/>
      </w:pPr>
      <w:r>
        <w:t>Regeste</w:t>
      </w:r>
    </w:p>
    <w:p>
      <w:r>
        <w:t>Ordonnance de non-entrée en matière, qualité pour recourir au Tribunal fédéral | Procédure pénale</w:t>
      </w:r>
    </w:p>
    <w:p>
      <w:pPr>
        <w:pStyle w:val="Heading2"/>
      </w:pPr>
      <w:r>
        <w:t>Erwägungen</w:t>
      </w:r>
    </w:p>
    <w:p>
      <w:r>
        <w:rPr>
          <w:b/>
        </w:rPr>
        <w:t>E. 1</w:t>
      </w:r>
    </w:p>
    <w:p>
      <w:r>
        <w:t>Par arrêt du 16 août 2017, la Chambre des recours pénale du Tribunal cantonal vaudois a rejeté la requête de récusation formée par X.________ contre le Procureur A.________ et, dans la mesure où il était recevable, le recours du premier nommé contre l'ordonnance de non-entrée en matière rendue le 7 juin 2017 sur sa plainte contre la société B.________, respectivement l'une de ses employées, et C.________ à la suite d'un prétendu piratage de ses communications téléphoniques. X.________ interjette un recours en matière pénale - assorti d'une demande d'assistance judiciaire -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C'est en vain que le recourant réclame le remboursement à hauteur de 1'000 fr. de ses frais de dossier ainsi que du temps consacré à la présente procédure, ces éléments ne constituant pas des prétentions civiles au sens de l'art. 81 al. 1 let. a et b ch. 5 LTF (cf. arrêt 6B_768/2013 du 12 novembre 2013 consid. 1.3). En outre, il réclame à B.________ SA et C.________ le remboursement de 10'000 fr. correspondant aux frais de communications qu'il a payés depuis 2012 jusqu'à la fin du piratage dont il allègue avoir été victime, ainsi que le versement de 15'000 fr. en raison du blocage de ses communications téléphoniques ayant prétendument entraîné le décès de son oncle dont il n'aurait pas pu avancer les frais médicaux, à défaut de pouvoir être atteint par téléphone. Sans autre motivation, outre qu'il invoque des préjudices qui ne résultent pas directement des faits dénoncés, il ne se détermine pas à satisfaction de droit sur un éventuel tort moral ou dommage, ni sur leur principe ni sur leur quotité. L'absence d'explication suffisante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 (cf. art 42 al. 1 - 2 et 106 al. 2 LTF).</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reproche aux autorités cantonales de n'avoir pas donné suite à son offre de preuves tendant à auditionner une employée de la société B.________. Il ressort de l'arrêt attaqué que dans deux courriers du 9 janvier et du 15 février 2017 adressés au recourant, B.________ lui avait expliqué - extrait de sa plateforme à l'appui - qu'il n'avait fait l'objet d'aucun piratage dès lors que le numéro xxx était le numéro de l'un de ses serveurs destinés à recevoir les appels ne pouvant aboutir sur une boîte vocale désactivée et que le numéro en question, visible sur le téléphone du client dans les paramètres de déviation, ne pouvait pas être effacé puisqu'il s'agissait d'un service mis en place par B.________. Ces explications claires et crédibles émanaient du département des plaintes, qui semblait avoir analysé la situation en détail, celle-ci portant manifestement sur des aspects techniques ayant donné lieu à des informations erronées et/ou incomplètes en 2012. Elles devaient dès lors primer sur d'éventuels renseignements contradictoires qui auraient été donnés par une employée ultérieurement (cf. arrêt cantonal consid. 2.3 p. 8). Il apparaît que le recourant entend remettre en cause le raisonnement précité, de sorte qu'il invoque un grief qui ne peut être séparé du fond. Son grief est irrecevable.</w:t>
      </w:r>
    </w:p>
    <w:p>
      <w:r>
        <w:rPr>
          <w:b/>
        </w:rPr>
        <w:t>E. 3</w:t>
      </w:r>
    </w:p>
    <w:p>
      <w:r>
        <w:t>Sur le vu de ce qui précède, le recours doit être déclaré irrecevable selon la procédure simplifiée prévue par l' art. 108 al. 1 let. a et b LTF . Comme les conclusions du recours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