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6B_1181/2015 vom 3. Dezember 2015</w:t>
      </w:r>
    </w:p>
    <w:p>
      <w:r>
        <w:t>Bundesgericht, 2015-12-03, DE</w:t>
      </w:r>
    </w:p>
    <w:p>
      <w:r>
        <w:rPr>
          <w:b/>
        </w:rPr>
        <w:t xml:space="preserve">Quelle: </w:t>
      </w:r>
      <w:r>
        <w:t>https://mcp.opencaselaw.ch/entscheid/bger_6B_1181_2015</w:t>
      </w:r>
    </w:p>
    <w:p>
      <w:r>
        <w:t>FR: TF 6B_1181/2015 du 3 décembre 2015</w:t>
      </w:r>
    </w:p>
    <w:p>
      <w:r>
        <w:t>IT: TF 6B_1181/2015 del 3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6B_1181/2015</w:t>
      </w:r>
    </w:p>
    <w:p>
      <w:r>
        <w:t>Verfügung vom 3. Dezember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Generalstaatsanwaltschaft des Kantons Freiburg, Postfach 1638, 1701 Freiburg,</w:t>
      </w:r>
    </w:p>
    <w:p>
      <w:r>
        <w:t>Beschwerdegegnerin.</w:t>
      </w:r>
    </w:p>
    <w:p>
      <w:r>
        <w:t>Gegenstand</w:t>
      </w:r>
    </w:p>
    <w:p>
      <w:r>
        <w:t>Entschädigung der amtlichen Verteidigung, überspitzter Formalismus,</w:t>
      </w:r>
    </w:p>
    <w:p>
      <w:r>
        <w:t>Beschwerde gegen das Urteil des Präsidenten der Strafkammer des Kantonsgerichts Freiburg vom 13. Oktober 2015.</w:t>
      </w:r>
    </w:p>
    <w:p>
      <w:r>
        <w:t>Erwägungen:</w:t>
      </w:r>
    </w:p>
    <w:p>
      <w:r>
        <w:t>Die Beschwerde wurde mit Schreiben vom 2. Dezember 2015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Präsidenten der Strafkammer des Kantonsgerichts Freiburg schriftlich mitgeteilt.</w:t>
      </w:r>
    </w:p>
    <w:p>
      <w:r>
        <w:t>Lausanne, 3. Dezember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