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1180/2013 vom 22. April 2014</w:t>
      </w:r>
    </w:p>
    <w:p>
      <w:r>
        <w:t>Bundesgericht, 2014-04-22, DE</w:t>
      </w:r>
    </w:p>
    <w:p>
      <w:r>
        <w:rPr>
          <w:b/>
        </w:rPr>
        <w:t xml:space="preserve">Quelle: </w:t>
      </w:r>
      <w:r>
        <w:t>https://mcp.opencaselaw.ch/entscheid/bger_6B_1180_2013</w:t>
      </w:r>
    </w:p>
    <w:p>
      <w:r>
        <w:t>FR: TF 6B 1180/2013 du 22 avril 2014</w:t>
      </w:r>
    </w:p>
    <w:p>
      <w:r>
        <w:t>IT: TF 6B 1180/2013 del 22 aprile 2014</w:t>
      </w:r>
    </w:p>
    <w:p>
      <w:pPr>
        <w:pStyle w:val="Heading2"/>
      </w:pPr>
      <w:r>
        <w:t>Regeste</w:t>
      </w:r>
    </w:p>
    <w:p>
      <w:r>
        <w:t>Mehrfachen Betrug, mehrfache Urkundenfälschung, mehrfache Erschleichung einer falschen Beurkundung; Strafzumessung | Straftaten</w:t>
      </w:r>
    </w:p>
    <w:p>
      <w:pPr>
        <w:pStyle w:val="Heading2"/>
      </w:pPr>
      <w:r>
        <w:t>Erwägungen</w:t>
      </w:r>
    </w:p>
    <w:p>
      <w:r>
        <w:rPr>
          <w:b/>
        </w:rPr>
        <w:t>E. 1</w:t>
      </w:r>
    </w:p>
    <w:p>
      <w:r>
        <w:t>Der Beschwerdeführer war im kantonalen Verfahren amtlich verteidigt. Er ist im Beschwerdeverfahren vor dem Bundesgericht nicht mehr anwaltlich vertreten. Unter Hinweis darauf ersucht er um eine Nachfrist zur Begründung der Beschwerde, da er überfordert sei, innerhalb der Beschwerdefrist von 30 Tagen eine ausführliche Beschwerdebegründung zu verfassen. Die Beschwerdefrist von 30 Tagen ist gesetzlich bestimmt ( Art. 100 Abs. 1 BGG ). Sie kann daher nicht erstreckt werden ( Art. 47 Abs. 1 BGG ), worauf der Beschwerdeführer bereits durch Schreiben des Bundesgerichts vom 9. Dezember 2013 aufmerksam gemacht wurde. Das Gesetz sieht die Möglichkeit der Wiederherstellung einer Frist vor. Ist eine Partei oder ihr Vertreter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Der Beschwerdeführer ersucht zu Recht nicht um Wiederherstellung im Sinne dieser Bestimmung. Der von ihm geltend gemachte Umstand ist kein Wiederherstellungsgrund.</w:t>
      </w:r>
    </w:p>
    <w:p>
      <w:r>
        <w:rPr>
          <w:b/>
        </w:rPr>
        <w:t>E. 2</w:t>
      </w:r>
    </w:p>
    <w:p>
      <w:r>
        <w:t>Der Beschwerdeführer verweist lediglich vorsorglich auf die Begründung in den Rechtsschriften und vor Schranken im kantonalen Verfahren. Rechtsschriften sind in einer Amtssprache abzufassen und haben die Begehren, deren Begründung mit Angabe der Beweismittel und die Unterschrift zu enthalten ( Art. 42 Abs. 1 BGG ). In der Begründung ist in gedrängter Form darzulegen, inwiefern der angefochtene Entscheid Recht verletzt ( Art. 42 Abs. 2 Satz 1 BGG ). Daraus folgt, dass die Begründung in der Beschwerdeschrift enthalten sein muss. Verweisungen auf andere Rechtsschriften reichen nach ständiger Praxis des Bundesgerichts nicht aus ( BGE 133 II 396 E. 3.2 mit Hinweisen).</w:t>
      </w:r>
    </w:p>
    <w:p>
      <w:r>
        <w:rPr>
          <w:b/>
        </w:rPr>
        <w:t>E. 3</w:t>
      </w:r>
    </w:p>
    <w:p>
      <w:r>
        <w:t>Der Beschwerdeführer macht in der Sache geltend, er sei an den inkriminierten Taten nur marginal beteiligt gewesen, er habe sich nicht bereichert und nicht mit Vorsatz gehandelt, weshalb er freizusprechen sei. Eventualiter sei die Strafe massiv zu reduzieren, da das Verfahren ohne sein Zutun sehr lange gedauert habe, was von der Vorinstanz bei der Strafzumessung zu wenig berücksichtigt worden sei. Diese Vorbringen erschöpfen sich in blossen Behauptungen. Der Beschwerdeführer setzt sich mit den vorinstanzlichen Erwägungen nicht auseinander. Er legt nicht dar, inwiefern die Vorinstanz Beweise willkürlich gewürdigt und/oder Recht verletzt habe. Die Beschwerde genügt daher den Begründungsanforderungen nicht, weshalb darauf nicht einzutreten ist.</w:t>
      </w:r>
    </w:p>
    <w:p>
      <w:r>
        <w:rPr>
          <w:b/>
        </w:rPr>
        <w:t>E. 4</w:t>
      </w:r>
    </w:p>
    <w:p>
      <w:r>
        <w:t>Das Gesuch um unentgeltliche Rechtspflege ist abzuweisen, da die Beschwerde keine Aussicht auf Erfolg hatte.</w:t>
      </w:r>
    </w:p>
    <w:p>
      <w:r>
        <w:rPr>
          <w:b/>
        </w:rPr>
        <w:t>E. 5</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