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6B_117/2013 vom 6. März 2013</w:t>
      </w:r>
    </w:p>
    <w:p>
      <w:r>
        <w:t>Bundesgericht, 2013-03-06, FR</w:t>
      </w:r>
    </w:p>
    <w:p>
      <w:r>
        <w:rPr>
          <w:b/>
        </w:rPr>
        <w:t xml:space="preserve">Quelle: </w:t>
      </w:r>
      <w:r>
        <w:t>https://mcp.opencaselaw.ch/entscheid/bger_6B_117_2013</w:t>
      </w:r>
    </w:p>
    <w:p>
      <w:r>
        <w:t>FR: TF 6B_117/2013 du 6 mars 2013</w:t>
      </w:r>
    </w:p>
    <w:p>
      <w:r>
        <w:t>IT: TF 6B_117/2013 del 6 marzo 2013</w:t>
      </w:r>
    </w:p>
    <w:p>
      <w:pPr>
        <w:pStyle w:val="Heading2"/>
      </w:pPr>
      <w:r>
        <w:t>Erwägungen</w:t>
      </w:r>
    </w:p>
    <w:p>
      <w:r>
        <w:rPr>
          <w:b/>
        </w:rPr>
        <w:t>E. 1</w:t>
      </w:r>
    </w:p>
    <w:p>
      <w:r>
        <w:t>Par décision du 17 décembre 2012 (PE08.017121), la Cour d'appel pénale du Tribunal cantonal vaudois a déclaré irrecevable la demande de révision formée le 12 décembre 2012 par X.________. Le prénommé recourt au Tribunal fédéral contre la décision cantonale dont il réclame l'annulation pour le motif que le Juge Y.________ ne s'est pas récusé alors qu'il avait précédemment participé au prononcé de l'arrêt rendu le 21 août 2012 par la Cour administrative du Tribunal cantonal vaudois (FA12.020668). X.________ requiert en outre le bénéfice de l'assistance judiciaire.</w:t>
      </w:r>
    </w:p>
    <w:p>
      <w:r>
        <w:t>Le Tribunal fédéral n'examine, en général, que les questions juridiques que la partie recourante soulève conformément aux exigences légales relatives à la motivation du recours. Les motifs doivent exposer succinctement en quoi l'acte attaqué viole le droit ( art. 42 al. 2 LTF ; ATF 135 I 91 consid. 2.1 p. 93). De plus, la violation de droits fondamentaux doit être invoquée et motivée de manière précise ( art. 106 al. 2 LTF ). L'acte de recours doit, à peine d'irrecevabilité, contenir un exposé succinct des droits violés et préciser en quoi consiste la violation ( ATF 136 I 65 consid. 1.3.1 p. 68 et arrêts cités).</w:t>
      </w:r>
    </w:p>
    <w:p>
      <w:r>
        <w:t>X.________ se borne à invoquer une violation de l' art. 56 al. 1 let. b CPP sans expliquer de quelque manière que ce soit en quoi la participation du Juge Y.________ à l'arrêt du 21 août 2012 prédéterminait l'issue de la procédure PE08.017121, entraînant une violation de la garantie à un tribunal indépendant et impartial instituée par les art. 30 al. 1 Cst. et 6 par. 1 CEDH. Au reste, il n'expose pas davantage en quoi le prononcé d'irrecevabilité serait contraire au droit. Faute ainsi de répondre aux exigences de motivation précitées, le recours doit être écarté en application de l' art. 108 al. 1 let. b LTF .</w:t>
      </w:r>
    </w:p>
    <w:p>
      <w:r>
        <w:rPr>
          <w:b/>
        </w:rPr>
        <w:t>E. 2</w:t>
      </w:r>
    </w:p>
    <w:p>
      <w:r>
        <w:t>Comme les conclusions du recours étaient dépourvues de chance de succès, l'assistance judiciaire ne peut être accordée ( art. 64 al. 1 LTF ). Le recourant devra supporter les frais judiciaires ( art. 66 al. 1 LTF ), dont le montant sera toutefois arrêté en tenant compte de sa situation financière.</w:t>
      </w:r>
    </w:p>
    <w:p>
      <w:r>
        <w:t>Par ces motifs, le Juge unique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