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6B_1178/2022 vom 4. Januar 2023</w:t>
      </w:r>
    </w:p>
    <w:p>
      <w:r>
        <w:t>Bundesgericht, 2023-01-04, FR</w:t>
      </w:r>
    </w:p>
    <w:p>
      <w:r>
        <w:rPr>
          <w:b/>
        </w:rPr>
        <w:t xml:space="preserve">Quelle: </w:t>
      </w:r>
      <w:r>
        <w:t>https://mcp.opencaselaw.ch/entscheid/bger_6B_1178_2022</w:t>
      </w:r>
    </w:p>
    <w:p>
      <w:r>
        <w:t>FR: TF 6B_1178/2022 du 4 janvier 2023</w:t>
      </w:r>
    </w:p>
    <w:p>
      <w:r>
        <w:t>IT: TF 6B_1178/2022 del 4 gennaio 2023</w:t>
      </w:r>
    </w:p>
    <w:p>
      <w:pPr>
        <w:pStyle w:val="Heading2"/>
      </w:pPr>
      <w:r>
        <w:t>Erwägungen</w:t>
      </w:r>
    </w:p>
    <w:p>
      <w:r>
        <w:rPr>
          <w:b/>
        </w:rPr>
        <w:t>E. 1</w:t>
      </w:r>
    </w:p>
    <w:p>
      <w:r>
        <w:t>Par arrêt du 9 mai 2022, la Chambre des recours pénale du Tribunal cantonal vaudois a déclaré irrecevable le recours interjeté par A.________ à l'encontre de l'ordonnance de non-entrée en matière rendue le 10 février 2022 par le Ministère public de l'arrondissement de l'Est vaudois.</w:t>
      </w:r>
    </w:p>
    <w:p>
      <w:r>
        <w:rPr>
          <w:b/>
        </w:rPr>
        <w:t>E. 2</w:t>
      </w:r>
    </w:p>
    <w:p>
      <w:r>
        <w:t>A.________ forme un recours en matière pénale au Tribunal fédéral contre l'arrêt précité.</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il ressort de l'arrêt entrepris que le recourant a déposé plainte auprès du Ministère public de l'arrondissement de l'Est vaudois en date du 4 février 2022 à l'encontre de la Commune de U.________, à qui il reprochait de lui refuser le logement et l'aide d'urgence dus aux "</w:t>
      </w:r>
    </w:p>
    <w:p>
      <w:r>
        <w:t>réfugiés politiques ". Le ministère public a en substance retenu que les faits dont se plaignait le recourant n'étaient constitutifs d'aucune infraction pénale. La cour cantonale a pour sa part considéré qu'il ne discutait pas, dans son recours, les arguments soulevés par le ministère public à l'appui de son ordonnance de non-entrée en matière, avant de parvenir à la conclusion que son recours ne répondait pas aux exigences posées par l' art. 385 al. 1 CPP .</w:t>
      </w:r>
    </w:p>
    <w:p>
      <w:r>
        <w:t>Dans ses écritures, le recourant ne discute pas, contrairement à ce qu'il lui incombait de faire, le motif d'irrecevabilité retenu par la cour cantonale, en application de la disposition précitée. Il s'ensuit qu'à défaut de motivation topique ciblant le motif de l'arrêt attaqué, le recours ne répond manifestement pas non plus aux exigences de motivation d'un recours en matière pénale au Tribunal fédéral (art. 42 al. 2 et 106 al. 2 LTF).</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recourant, qui succombe, supporte les frais judiciaires qui seront fixés en tenant compte de sa situation, qui n'apparaît pas favorable (art. 65 al. 2 et 66 al. 1 LTF).</w:t>
      </w:r>
    </w:p>
    <w:p>
      <w:r>
        <w:t>Dès lors que le recourant n'a pas de domicile connu, l'exemplaire du présent arrêt qui lui est destiné est conservé au dossier, à sa disposition.</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