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6B_1178/2015 vom 30. November 2015</w:t>
      </w:r>
    </w:p>
    <w:p>
      <w:r>
        <w:t>Bundesgericht, 2015-11-30, FR</w:t>
      </w:r>
    </w:p>
    <w:p>
      <w:r>
        <w:rPr>
          <w:b/>
        </w:rPr>
        <w:t xml:space="preserve">Quelle: </w:t>
      </w:r>
      <w:r>
        <w:t>https://mcp.opencaselaw.ch/entscheid/bger_6B_1178_2015</w:t>
      </w:r>
    </w:p>
    <w:p>
      <w:r>
        <w:t>FR: TF 6B_1178/2015 du 30 novembre 2015</w:t>
      </w:r>
    </w:p>
    <w:p>
      <w:r>
        <w:t>IT: TF 6B_1178/2015 del 30 novembre 2015</w:t>
      </w:r>
    </w:p>
    <w:p>
      <w:pPr>
        <w:pStyle w:val="Heading2"/>
      </w:pPr>
      <w:r>
        <w:t>Erwägungen</w:t>
      </w:r>
    </w:p>
    <w:p>
      <w:r>
        <w:rPr>
          <w:b/>
        </w:rPr>
        <w:t>E. 1</w:t>
      </w:r>
    </w:p>
    <w:p>
      <w:r>
        <w:t>Par ordonnance du 31 août 2015, le Ministère public genevois a rejeté la demande de restitution du délai d'opposition à l'ordonnance pénale du 22 avril 2015 condamnant X.________ à 135 jours-amende à 30 fr. l'unité pour violation grave des règles de la circulation routière. Le 13 octobre 2015, la Chambre pénale de recours de la Cour de justice genevoise a rejeté le recours de X.________ contre l'ordonnance du 31 août 2015. En bref et pour l'essentiel, la chambre cantonale a considéré que l'opposition - postée en France le 11 août 2015 et reçue au Ministère public genevois le 14 août suivant - à l'ordonnance pénale valablement notifiée le 2 mai 2015 était tardive et que X.________ n'avait fait valoir aucun motif susceptible de justifier le non-respect du délai d'opposition fixé à 10 jours par la loi.</w:t>
      </w:r>
    </w:p>
    <w:p>
      <w:r>
        <w:rPr>
          <w:b/>
        </w:rPr>
        <w:t>E. 2</w:t>
      </w:r>
    </w:p>
    <w:p>
      <w:r>
        <w:t>X.________ interjette un recours en matière pénale au Tribunal fédéral contre l'arrêt cantonal. Dans ce cadre, il demande le bénéfice de l'assistance judiciaire.</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 137 II 305 consid. 3.3 p. 310 ss).</w:t>
      </w:r>
    </w:p>
    <w:p>
      <w:r>
        <w:t>En l'occurrence, le recourant, qui invoque sa situation financière obérée, met en cause sa condamnation à 135 jours-amende à 30 fr. l'unité, sans se déterminer sur le refus de lui restituer le délai d'opposition à l'ordonnance pénale du 22 avril 2015. Ces considérations ne sont pas de nature à remettre en question le raisonnement de la chambre cantonale (cf. consid. 1 supra) et ne démontrent en particulier pas en quoi celui-ci violerait le droit. Faute de satisfaire aux exigences de motivation susmentionnées, le recours doit être écarté en application de l' art. 108 al. 1 let. b LTF .</w:t>
      </w:r>
    </w:p>
    <w:p>
      <w:r>
        <w:rPr>
          <w:b/>
        </w:rPr>
        <w:t>E. 3</w:t>
      </w:r>
    </w:p>
    <w:p>
      <w:r>
        <w:t>Comme les conclusions du recours étaient dénuées de chance de succès, le recourant doit être débouté de sa demande d'assistance judiciaire ( art. 64 al. 1 LTF a contrario) et supporter les frais de justice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