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1177/2013 vom 12. Mai 2014</w:t>
      </w:r>
    </w:p>
    <w:p>
      <w:r>
        <w:t>Bundesgericht, 2014-05-12, FR</w:t>
      </w:r>
    </w:p>
    <w:p>
      <w:r>
        <w:rPr>
          <w:b/>
        </w:rPr>
        <w:t xml:space="preserve">Quelle: </w:t>
      </w:r>
      <w:r>
        <w:t>https://mcp.opencaselaw.ch/entscheid/bger_6B_1177_2013</w:t>
      </w:r>
    </w:p>
    <w:p>
      <w:r>
        <w:t>FR: TF 6B 1177/2013 du 12 mai 2014</w:t>
      </w:r>
    </w:p>
    <w:p>
      <w:r>
        <w:t>IT: TF 6B 1177/2013 del 12 maggio 2014</w:t>
      </w:r>
    </w:p>
    <w:p>
      <w:pPr>
        <w:pStyle w:val="Heading2"/>
      </w:pPr>
      <w:r>
        <w:t>Regeste</w:t>
      </w:r>
    </w:p>
    <w:p>
      <w:r>
        <w:t>Violation grave des règles de la circulation; arbitraire | Infractions</w:t>
      </w:r>
    </w:p>
    <w:p>
      <w:pPr>
        <w:pStyle w:val="Heading2"/>
      </w:pPr>
      <w:r>
        <w:t>Erwägungen</w:t>
      </w:r>
    </w:p>
    <w:p>
      <w:r>
        <w:rPr>
          <w:b/>
        </w:rPr>
        <w:t>E. 1</w:t>
      </w:r>
    </w:p>
    <w:p>
      <w:r>
        <w:t>Le recourant reproche à la cour cantonale d'avoir violé son droit d'être entendu en refusant une inspection locale en présence de l'agent de police l'ayant interpellé.</w:t>
      </w:r>
    </w:p>
    <w:p>
      <w:r>
        <w:rPr>
          <w:b/>
        </w:rPr>
        <w:t>E. 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recours est réglée par l' art. 389 CPP . Selon cette disposition,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Le législateur a ainsi consacré le droit des autorités pénales de procéder à une appréciation anticipée des preuves. Le refus d'instruire ne viole ainsi le droit d'être entendu des parties que si l'appréciation anticipée de la pertinence du moyen de preuve offert, à laquelle le juge a procédé, est entachée d'arbitraire ( ATF 136 I 229 consid. 5.3 p. 236 s.).</w:t>
      </w:r>
    </w:p>
    <w:p>
      <w:r>
        <w:rPr>
          <w:b/>
        </w:rPr>
        <w:t>E. 1.2</w:t>
      </w:r>
    </w:p>
    <w:p>
      <w:r>
        <w:t>En substance, la cour cantonale a estimé que les lieux étaient suffisamment décrits dans le dossier, à l'aide notamment de planches photographiques et, au demeurant, qu'ils étaient connus de la cour. Quant à l'audition du policier, celui-ci avait été entendu en première instance et le recourant avait eu l'occasion, par son conseil, de lui poser toutes les questions qui lui semblaient pertinentes, dont les réponses avaient par ailleurs été verbalisées. A cet égard, le recourant ne prétendait pas que la preuve avait été administrée de façon irrégulière ou incomplète. Il n'y avait donc pas lieu de donner suite à ses réquisitions.</w:t>
      </w:r>
    </w:p>
    <w:p>
      <w:r>
        <w:rPr>
          <w:b/>
        </w:rPr>
        <w:t>E. 1.3</w:t>
      </w:r>
    </w:p>
    <w:p>
      <w:r>
        <w:t>Le recourant soutient qu'une inspection locale était nécessaire pour évaluer les distances séparant les véhicules et, partant, démontrer que la version des policiers n'était pas compatible avec la configuration des lieux. Ce faisant, le recourant ne démontre pas en quoi l'appréciation anticipée des moyens de preuve effectuée par la cour cantonale serait entachée d'arbitraire. En particulier, il n'établit pas en quoi les planches photographiques ne seraient pas suffisantes pour se représenter la configuration des lieux. Pour le surplus, le recourant ne prétend, ni ne démontre que les preuves administrées en première instance, en particulier l'audition de l'agent de police, seraient irrégulières ou incomplètes. Le grief du recourant est infondé dans la mesure où il est recevable.</w:t>
      </w:r>
    </w:p>
    <w:p>
      <w:r>
        <w:rPr>
          <w:b/>
        </w:rPr>
        <w:t>E. 2</w:t>
      </w:r>
    </w:p>
    <w:p>
      <w:r>
        <w:t>Le recourant fait grief à la cour cantonale d'avoir arbitrairement établi les faits et d'avoir violé le principe in dubio pro reo.</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 ATF 138 III 378 consid. 6.1 p. 379 s.; 137 I 1 consid. 2.4 p. 5).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133 III 393 consid. 6 p. 397). Le reproche d'établissement arbitraire des faits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2.3</w:t>
      </w:r>
    </w:p>
    <w:p>
      <w:r>
        <w:t>En substance, la cour cantonale a retenu que les deux gendarmes avaient, de manière concordante, déclaré avoir aperçu le véhicule du recourant s'engager rapidement sur la voie d'accès à la chaussée de l'autoroute. Comme ils se trouvaient à quelque 200 mètres de lui, ils avaient pu le suivre sans accélérer fortement pour combler leur retard. Le recourant faisait une fausse lecture du rapport de dénonciation du 5 avril 2012. Sur la base des pièces au dossier (P. 4 et P. 12), les agents se trouvaient bien à 200 mètres du recourant et non à 400 mètres lorsqu'ils avaient aperçu son véhicule. Les gendarmes avaient ensuite expliqué avoir poursuivi le recourant sur l'autoroute, lequel avait accéléré après le km 41.590, correspondant à l'emplacement du radar fixe. Ils n'avaient pas pu rattraper le recourant, malgré une vitesse se situant entre 230 et 240 km/h. Au contraire, la distance augmentait. Ce n'est qu'après le km 46 que le véhicule avait réduit son allure et que les agents avaient pu interpeller le recourant. Le gendarme B.________ avait aussi déclaré qu'il lui était déjà arrivé, lors de courses urgentes, de circuler à plus de 200 km/h et qu'il avait eu le même sentiment de vitesse lors de cette course poursuite. Par ailleurs, le recourant ne prétendait pas qu'il y avait eu d'autres véhicules sur sa voie lors de la poursuite, à l'exception d'un camion. Une confusion entre deux véhicules était dès lors impossible. Il ne faisait donc aucun doute que le recourant avait accéléré dès le km 41.590 jusqu'à atteindre une vitesse de plus de 200 km/h, ce que lui permettait aisément son véhicule de marque Audi R8, dont la fiche technique indiquait une vitesse maximale de 301 km/h.</w:t>
      </w:r>
    </w:p>
    <w:p>
      <w:r>
        <w:rPr>
          <w:b/>
        </w:rPr>
        <w:t>E. 2.4</w:t>
      </w:r>
    </w:p>
    <w:p>
      <w:r>
        <w:t>En tant que l'argumentation du recourant consiste à opposer une nouvelle fois sa propre appréciation des faits et des moyens de preuve à celle de la cour cantonale, elle est appellatoire, partant irrecevable. Il en va notamment ainsi lorsqu'il allègue que les policiers se trouvaient à une distance de plus de 200 mètres de son véhicule, qu'il n'a roulé qu'à 140 km/h et qu'il a été rattrapé soudainement par les gendarmes sans avoir freiné auparavant. Les calculs présentés par le recourant ont été effectués - par ses soins - sur la base de sa propre interprétation des faits et des moyens de preuve et procèdent ainsi également d'une argumentation purement appellatoire.</w:t>
      </w:r>
    </w:p>
    <w:p>
      <w:r>
        <w:rPr>
          <w:b/>
        </w:rPr>
        <w:t>E. 2.5</w:t>
      </w:r>
    </w:p>
    <w:p>
      <w:r>
        <w:t>S'agissant du témoignage de la passagère du véhicule conduit par le recourant, la cour cantonale a relevé que celle-ci était l'amie intime du prévenu à l'époque des faits. Il fallait ainsi préférer les déclarations de deux gendarmes assermentés qui n'avaient jamais eu affaire au recourant auparavant et qui n'avaient aucun intérêt à inventer de tels faits; ils patrouillaient et avaient aperçu fortuitement le comportement routier d'un automobiliste qui prenait des libertés avec le code de la route et avaient décidé de le suivre. Le fait que la passagère avait confirmé son témoignage à l'audience de première instance n'y changeait rien. Elle avait déjà témoigné dans un sens favorable au recourant et tout revirement de sa part l'exposait à une dénonciation pour faux témoignage. Il importait donc peu qu'elle n'était plus l'amie intime du recourant au moment de l'audience. Le recourant ne démontre pas en quoi cette appréciation serait arbitraire se contentant de l'affirmer. Insuffisamment motivé, son grief est irrecevable.</w:t>
      </w:r>
    </w:p>
    <w:p>
      <w:r>
        <w:rPr>
          <w:b/>
        </w:rPr>
        <w:t>E. 2.6</w:t>
      </w:r>
    </w:p>
    <w:p>
      <w:r>
        <w:t>En définitive, le recourant ne démontre pas en quoi il était manifestement insoutenable de déduire des éléments retenus par la cour cantonale (notamment des rapports des gendarmes, de l'audition du gendarme B.________, de l'absence d'autres véhicules) qu'il avait bien roulé à une vitesse de plus de 200 km/h. Insuffisamment motivé et appellatoire son grief est irrecevable.</w:t>
      </w:r>
    </w:p>
    <w:p>
      <w:r>
        <w:rPr>
          <w:b/>
        </w:rPr>
        <w:t>E. 3</w:t>
      </w:r>
    </w:p>
    <w:p>
      <w:r>
        <w:t>Le recourant prétend que la cour cantonale aurait violé l' art. 8 al. 1 let . g OOCCR-OFROU.</w:t>
      </w:r>
    </w:p>
    <w:p>
      <w:r>
        <w:rPr>
          <w:b/>
        </w:rPr>
        <w:t>E. 3.1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ainsi que, en accord avec l'Office fédéral de métrologie (METAS), des Instructions concernant les contrôles de vitesse par la police et la surveillance de la circulation aux feux rouges (ci-après : les Instructions). Les art. 6 à 9 OOCCR-OFROU précisent notamment les types de mesures (art. 6 et 7), les marges de sécurité (art. 8) ainsi que les exigences relatives à la documentation des vitesses mesurées (art. 9). L' art. 8 OOCCR-OFROU a fait l'objet de modifications entrées en vigueur le 1 er janvier 2014. L'ancien art. 8 al. 1 let . g OOCCR-OFROU (en vigueur au moment des faits; RO 2011 5645) réglait deux types de contrôles, soit le contrôle par véhicule-suiveur (muni d'un tachygraphe) et le contrôle par véhicule-suiveur sans système calibré. Il disposait ainsi que devaient être déduites de la vitesse mesurée, en cas de contrôles par véhicule-suiveur, les valeurs indiquées au tableau de l'annexe 1 et en cas de mesures de vitesse effectuées au moyen d'un véhicule-suiveur sans système calibré 15% pour une valeur mesurée à partir de 101 km/h (ch. 2). Le cas de contrôle par véhicule-suiveur sans système calibré fait désormais l'objet de l' art. 8 al. 1 let. i OOCCR-OFROU qui reprend, sans modification, les valeurs figurant à l'ancien art. 8 al. 1 let . g ch. 1 à 3 OOCCR-OFROU. Il n'apparaît ainsi pas plus favorable au recourant et c'est donc l'ancien droit qui s'applique ( art. 2 al. 2 CP ). Le chiffre 20 des Instructions (traitant des mesures au moyen d'un véhicule-suiveur sans système calibré) prévoit, à propos de la détermination exacte du compteur de vitesse du véhicule, que la différence entre la vitesse effective et la vitesse affichée au compteur, déterminée au moyen d'une mesure radar/laser, d'un récepteur GPS de la police ou sur un banc d'essai à rouleaux du service des automobiles ou d'une personne habilitée par l'autorité d'immatriculation, doit être soustraite du dépassement de vitesse constaté, après quoi il convient de déduire encore la marge de sécurité selon l' art. 8 al. 1 let . g OOCCR-OFROU (dans sa teneur en vigueur jusqu'au 31 décembre 2013).</w:t>
      </w:r>
    </w:p>
    <w:p>
      <w:r>
        <w:rPr>
          <w:b/>
        </w:rPr>
        <w:t>E. 3.2</w:t>
      </w:r>
    </w:p>
    <w:p>
      <w:r>
        <w:t>Selon la jurisprudence, les instructions techniques, comme celles concernant les contrôles de vitesse émises le 22 mai 2008 par l'Office fédéral des routes, constituent de simples recommandations qui n'ont pas force de loi et ne lient pas le juge ( ATF 123 II 106 consid. 2e p. 113;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6B_863/2010 du 17 janvier 2011 consid. 2.2 in SJ 2011 I 265; 1C_345/2007 du 24 janvier 2008 consid. 4.1, in JdT 2008 I 449). Les Instructions techniques réservent du reste la libre appréciation des preuves par les tribunaux (cf. ch. 21).</w:t>
      </w:r>
    </w:p>
    <w:p>
      <w:r>
        <w:rPr>
          <w:b/>
        </w:rPr>
        <w:t>E. 3.3</w:t>
      </w:r>
    </w:p>
    <w:p>
      <w:r>
        <w:t>En application de la jurisprudence constante du Tribunal fédéral, le seuil de gravité en matière d'infraction à la circulation routière ( art. 90 ch. 2 LCR ) est considéré comme atteint en cas de dépassement de la vitesse égal ou supérieur à 35 km/h quand la vitesse est limitée à 120 km/h sur les autoroutes ( ATF 132 II 234 consid. 3.2 p. 238; 124 II 259 consid. 2b p. 262).</w:t>
      </w:r>
    </w:p>
    <w:p>
      <w:r>
        <w:rPr>
          <w:b/>
        </w:rPr>
        <w:t>E. 3.4</w:t>
      </w:r>
    </w:p>
    <w:p>
      <w:r>
        <w:t>Le recourant soutient que l' art. 8 al. 1 let . g OOCCR-OFROU et l'annexe 1 y relative imposeraient, pour effectuer un contrôle de vitesse, que le véhicule-suiveur se trouve à une distance constante du véhicule suivi et ce sur au moins 500 mètres. Le contrôle aurait ainsi été effectué en violation de cette disposition. Dans la mesure où l'argumentation du recourant se fonde sur des faits non retenus par la cour cantonale, sans que celui-ci n'en ait démontré l'arbitraire, elle est irrecevable. Pour le surplus, les critiques du recourant se fondent sur une lecture erronée de l' art. 8 al. 1 let . g aOOCCR-OFROU. L'annexe 1 n'est en effet pas applicable en l'espèce dès lors que le recourant n'a pas fait l'objet d'un contrôle au moyen d'un véhicule-suiveur avec tachygraphe mais bien d'un contrôle au moyen d'un véhicule-suiveur sans système calibré. Par conséquent, il n'était pas nécessaire que le véhicule des policiers se trouvent à une distance constante de celui du recourant. Pour le surplus, la cour cantonale a retenu qu'après le radar fixe, le recourant avait fortement accéléré et, bien que les policiers aient roulé à la vitesse maximale de leur véhicule, soit 230 à 240 km/h, le recourant n'avait cessé de les distancer. Ainsi, le contrôle s'est basé sur le compteur du véhicule des policiers. A cet égard, ce type de contrôle, contrairement à ce que soutient le recourant, est autorisé par l' art. 6 let c ch. 2 OOCCR-OFROU (qui n'a pas subi de changement), précisé par l' art. 8 al. 1 let . g aOOCCR-OFROU. Il ne nécessite en outre pas une distance constante entre les véhicules. La cour cantonale a déduit de la vitesse la plus basse constatée par les policiers, soit 230 km/h, une marge de 15% conformément à l' art. 8 al. 1 let . g aOOCCR-OFROU. Elle a ainsi retenu que le recourant avait roulé à une vitesse de 195 km/h. Il ne ressort pas de l'arrêt entrepris que le véhicule des gendarmes n'aurait pas fait l'objet d'un contrôle d'étalonnage conforme à l'art. 20 des Instructions et le recourant ne le soutient pas. Il ne démontre pas qu'il était insoutenable de retenir que son excès de vitesse s'élevait à 195 km/h compte tenu d'une vitesse maximale affichée sur le compteur du véhicule-suiveur de 240 km/h, étant précisé que la cour cantonale a basé son calcul sur une vitesse de 230 km/h. Fondé sur une vitesse de 195 km/h, la cour cantonale a correctement appliqué le droit fédéral en considérant que le recourant avait commis une violation grave des règles de la circulation routière. Le grief du recourant est infondé dans le mesure où il est recevable.</w:t>
      </w:r>
    </w:p>
    <w:p>
      <w:r>
        <w:rPr>
          <w:b/>
        </w:rPr>
        <w:t>E. 3.5</w:t>
      </w:r>
    </w:p>
    <w:p>
      <w:r>
        <w:t>Le recourant ne remet en outre pas en cause le genre et la quotité de la peine qui lui a été infligée. Il n'y a pas lieu d'examiner ces questions.</w:t>
      </w:r>
    </w:p>
    <w:p>
      <w:r>
        <w:rPr>
          <w:b/>
        </w:rPr>
        <w:t>E. 4</w:t>
      </w:r>
    </w:p>
    <w:p>
      <w:r>
        <w:t>Le recours doit être rejeté dans la mesure où il est recevable. Le recourant, qui succombe, supporte les frais judiciaires ( art. 66 al. 1 LTF ).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