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1175/2018 vom 28. Januar 2019</w:t>
      </w:r>
    </w:p>
    <w:p>
      <w:r>
        <w:t>Bundesgericht, 2019-01-28, DE</w:t>
      </w:r>
    </w:p>
    <w:p>
      <w:r>
        <w:rPr>
          <w:b/>
        </w:rPr>
        <w:t xml:space="preserve">Quelle: </w:t>
      </w:r>
      <w:r>
        <w:t>https://mcp.opencaselaw.ch/entscheid/bger_6B_1175_2018</w:t>
      </w:r>
    </w:p>
    <w:p>
      <w:r>
        <w:t>FR: TF 6B 1175/2018 du 28 janvier 2019</w:t>
      </w:r>
    </w:p>
    <w:p>
      <w:r>
        <w:t>IT: TF 6B 1175/2018 del 28 gennaio 2019</w:t>
      </w:r>
    </w:p>
    <w:p>
      <w:pPr>
        <w:pStyle w:val="Heading2"/>
      </w:pPr>
      <w:r>
        <w:t>Regeste</w:t>
      </w:r>
    </w:p>
    <w:p>
      <w:r>
        <w:t>Mehrfache Vergewaltigung; Beweiswürdigung | Straftaten</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S. 317; Urteil 6B_115/2018 vom 30. April 2018 E. 2; je mit Hinweisen). Der Beschwerdeführer beantragt eine Neubeurteilung durch die Vorinstanz ohne ausdrücklichen Antrag in der Sache. Er verlangt indessen eine erneute Feststellung des Sachverhalts und eine neue Entscheidung der Vorinstanz unter Berücksichtigung von potenziell entlastenden Sachverhalten. Damit ist hinreichend klar, was mit der Beschwerde angestrebt wird, und sind die Anforderungen von Art. 42 Abs. 1 BGG erfüllt.</w:t>
      </w:r>
    </w:p>
    <w:p>
      <w:r>
        <w:rPr>
          <w:b/>
        </w:rPr>
        <w:t>E. 1.2</w:t>
      </w:r>
    </w:p>
    <w:p>
      <w:r>
        <w:t>Die Beschwerde an das Bundesgericht ist zu begründen ( Art. 42 Abs. 1 BGG ). In der Begründung ist in gedrängter Form darzulegen, inwiefern der angefochtene Akt Recht verletzt ( Art. 42 Abs. 2 BGG ).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115 E. 2 S. 116; je mit Hinweisen). Hinsichtlich der Verletzung von Grundrechten und der Anfechtung des Sachverhalts besteht eine qualifizierte Rügepflicht ( Art. 106 Abs. 2 BGG ; BGE 142 III 364 E. 2.4 S. 368 mit Hinweisen).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 Im Rahmen der Sachverhaltsrüge genügt es nicht, einen von den tatsächlichen Feststellungen der Vorinstanz abweichenden Sachverhalt zu behaupten ( BGE 137 II 353 E. 5.1 S. 356; Urteil 6B_3/2016 vom 28. Oktober 2016 E. 2.2; je mit Hinweisen).</w:t>
      </w:r>
    </w:p>
    <w:p>
      <w:r>
        <w:rPr>
          <w:b/>
        </w:rPr>
        <w:t>E. 1.3</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S. 244 ; 143 I 310 E. 2.2 S. 313;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tritt das Bundesgericht nicht ein ( BGE 142 III 364 E. 2.4 S. 368 mit Hinweis).</w:t>
      </w:r>
    </w:p>
    <w:p>
      <w:r>
        <w:rPr>
          <w:b/>
        </w:rPr>
        <w:t>E. 1.4</w:t>
      </w:r>
    </w:p>
    <w:p>
      <w:r>
        <w:t>Der Beschwerdeführer rügt eine Verletzung der Unschuldsvermutung.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Dem Grundsatz "in dubio pro reo" kommt in seiner Funktion als Beweiswürdigungsregel im Verfahren vor Bundesgericht keine über das Willkürverbot von Art. 9 BV hinausgehende Bedeutung zu ( BGE 143 IV 500 E. 1.1 S. 503; Urteil 6B_804/2017 vom 23. Mai 2018 E. 2.2.3.1-2.2.3.3, zur Publikation vorgesehen).</w:t>
      </w:r>
    </w:p>
    <w:p>
      <w:r>
        <w:rPr>
          <w:b/>
        </w:rPr>
        <w:t>E. 2</w:t>
      </w:r>
    </w:p>
    <w:p>
      <w:r>
        <w:t>Der Beschwerdeführer setzt sich in seiner Beschwerde mit dem Urteil der Vorinstanz nicht rechtsgenüglich auseinander. Seine Beschwerde genügt den gesetzlichen Begründungsanforderungen in weiten Teilen nicht. Mit seiner Kritik am aussagepsychologischen Gutachten der Aussagen des Opfers vom 16. August 2016 und am Bericht des Kantonsspitals Graubünden vom 15. Dezember 2017 wehrt sich der Beschwerdeführer gegen die Sachverhaltsfeststellung der Vorinstanz. Inwiefern aber Willkür oder eine Verletzung des rechtlichen Gehörs vorliegen sollen, ist weder dargetan noch ersichtlich. Der Beschwerdeführer beschränkt sich vielmehr darauf, seine eigene Beweiswürdigung vorzunehmen, ohne dabei aufzuzeigen, inwiefern die vorinstanzliche Beweiswürdigung unhaltbar sein sollte. Aus seiner Beschwerde ergibt sich nicht, dass und inwieweit der vorinstanzliche Entscheid verfassungswidrig, willkürlich oder sonstwie bundesrechtswidrig sein könnte. Daran ändert auch nichts, dass der Beschwerdeführer in seinem Fazit an den bekannten Gehalt von Art. 3, Art. 6 und Art. 10 StPO erinnert. Die Vorinstanz verletzt weder die Unschuldsvermutung nach Art. 10 StPO noch verfällt sie in ihrer Beweiswürdigung in Willkür, indem sie im Wesentlichen auf die Aussagen des Opfers abstellt, deren Glaubhaftigkeit gemäss dem schlüssigen und nachvollziehbaren aussagepsychologischen Gutachten vom 16. August 2016 erstellt ist. Die Vorinstanz hat den Sachverhalt vielmehr sorgfältig und unter Würdigung aller belastenden und entlastenden Beweise festgestellt. Insbesondere werden auch die Aussagen des Beschwerdeführers umfassend gewürdigt. Die Vorinstanz begründet die Ablehnung der Beweisanträge des Beschwerdeführers in nachvollziehbarer Weise und setzt sich mit seinen Einwänden ausführlich auseinander. Das rechtliche Gehör des Beschwerdeführers wurde hinreichend gewahrt. Die Beweiswürdigung der Vorinstanz ist nicht zu beanstanden und der vorinstanzliche Schuldspruch ist vollumfänglich zu bestätigen.</w:t>
      </w:r>
    </w:p>
    <w:p>
      <w:r>
        <w:rPr>
          <w:b/>
        </w:rPr>
        <w:t>E. 3</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Seinen angespannten finanziellen Verhältnissen ist mit reduzierten Gerichtskosten Rechnung zu tragen ( Art. 65 Abs. 2 BGG ). Der Beschwerdegegnerin 2 ist keine Entschädigung zuzusprechen, da sie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