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6B_1173/2021 vom 4. Februar 2022</w:t>
      </w:r>
    </w:p>
    <w:p>
      <w:r>
        <w:t>Bundesgericht, 2022-02-04, DE</w:t>
      </w:r>
    </w:p>
    <w:p>
      <w:r>
        <w:rPr>
          <w:b/>
        </w:rPr>
        <w:t xml:space="preserve">Quelle: </w:t>
      </w:r>
      <w:r>
        <w:t>https://mcp.opencaselaw.ch/entscheid/bger_6B_1173_2021</w:t>
      </w:r>
    </w:p>
    <w:p>
      <w:r>
        <w:t>FR: TF 6B_1173/2021 du 4 février 2022</w:t>
      </w:r>
    </w:p>
    <w:p>
      <w:r>
        <w:t>IT: TF 6B_1173/2021 del 4 febbraio 2022</w:t>
      </w:r>
    </w:p>
    <w:p>
      <w:pPr>
        <w:pStyle w:val="Heading2"/>
      </w:pPr>
      <w:r>
        <w:t>Erwägungen</w:t>
      </w:r>
    </w:p>
    <w:p>
      <w:r>
        <w:rPr>
          <w:b/>
        </w:rPr>
        <w:t>E. 1</w:t>
      </w:r>
    </w:p>
    <w:p>
      <w:r>
        <w:t>Der Beschwerdeführer erhob gegen vier staatsanwaltschaftliche Nichtanhandnahmeverfügungen vom 9. Juli 2021 Beschwerde an das Kantonsgericht Basel-Landschaft und ersuchte in diesem Zusammenhang um unentgeltliche Rechtspflege. Das Gesuch um unentgeltliche Rechtspflege wurde in vier Verfügungen vom 23. August 2021 abgewiesen und der Beschwerdeführer verpflichtet, je eine Sicherheit gemäss Art. 383 StPO von Fr. 500.-- bis zum 13. August 2021 zu leisten, ansonsten die Rechtsmittelinstanz auf die Beschwerde nicht eintreten werde. Am 23. August 2021 trat das Kantonsgericht Basel-Landschaft in vier separaten Beschlüssen auf die Beschwerde androhungsgemäss mangels Bezahlung der Sicherheitsleistung nicht ein. Der Beschwerdeführer wendet sich an das Bundesgericht.</w:t>
      </w:r>
    </w:p>
    <w:p>
      <w:r>
        <w:rPr>
          <w:b/>
        </w:rPr>
        <w:t>E. 2</w:t>
      </w:r>
    </w:p>
    <w:p>
      <w:r>
        <w:t>Eine Beschwerde an das Bundesgericht ist innert 30 Tagen nach der Eröffnung der vollständigen Ausfertigung des angefochtenen Entscheids beim Bundesgericht einzureichen ( Art. 100 Abs. 1 BGG ).</w:t>
      </w:r>
    </w:p>
    <w:p>
      <w:r>
        <w:t>Eingaben müssen spätestens am letzten Tag der Frist beim Bundesgericht eingereicht oder zu dessen Handen der Schweizerischen Post oder einer schweizerischen diplomatischen oder konsularischen Vertretung übergeben werden ( Art. 48 Abs. 1 BGG ).</w:t>
      </w:r>
    </w:p>
    <w:p>
      <w:r>
        <w:rPr>
          <w:b/>
        </w:rPr>
        <w:t>E. 3</w:t>
      </w:r>
    </w:p>
    <w:p>
      <w:r>
        <w:t>Die vorinstanzlichen Beschlüsse wurden dem Beschwerdeführer am 31. August 2021 persönlich gegen Unterschrift zugestellt (vgl. postalische Sendungsverfolgungen). Diese Zustellung ist für den Beginn des Fristenlaufs nach Art. 100 Abs. 1 BGG massgeblich ( Art. 44 BGG ). Die 30-tägige Beschwerdefrist begann folglich am 1. September 2021 zu laufen und endete am 30. September 2021. Die Beschwerde an das Bundesgericht hätte daher, um rechtzeitig zu sein, spätestens an diesem Datum (30. September 2021) bei der Schweizerischen Post aufgegeben sein müssen ( Art. 100 Abs. 1 BGG ). Indessen wurde die Beschwerde, wie auf deren Briefumschlag unter Hinweis auf einen Zeugen vermerkt wird, der Post erst am 1. Oktober 2021 übergeben. Die Beschwerde ist folglich verspätet. Ein allfälliger Wiederherstellungsgrund im Sinne von Art. 50 BGG ist weder dargetan noch ersichtlich. Auf die Beschwerde ist im Verfahren nach Art. 108 BGG folglich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