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6B_1170/2016 vom 2. November 2016</w:t>
      </w:r>
    </w:p>
    <w:p>
      <w:r>
        <w:t>Bundesgericht, 2016-11-02, DE</w:t>
      </w:r>
    </w:p>
    <w:p>
      <w:r>
        <w:rPr>
          <w:b/>
        </w:rPr>
        <w:t xml:space="preserve">Quelle: </w:t>
      </w:r>
      <w:r>
        <w:t>https://mcp.opencaselaw.ch/entscheid/bger_6B_1170_2016</w:t>
      </w:r>
    </w:p>
    <w:p>
      <w:r>
        <w:t>FR: TF 6B_1170/2016 du 2 novembre 2016</w:t>
      </w:r>
    </w:p>
    <w:p>
      <w:r>
        <w:t>IT: TF 6B_1170/2016 del 2 novembre 2016</w:t>
      </w:r>
    </w:p>
    <w:p>
      <w:pPr>
        <w:pStyle w:val="Heading2"/>
      </w:pPr>
      <w:r>
        <w:t>Erwägungen</w:t>
      </w:r>
    </w:p>
    <w:p>
      <w:r>
        <w:rPr>
          <w:b/>
        </w:rPr>
        <w:t>E. 1</w:t>
      </w:r>
    </w:p>
    <w:p>
      <w:r>
        <w:t>Eine Beschwerde ist innert 30 Tagen nach der Eröffnung der vollständigen Ausfertigung des angefochtenen Entscheids beim Bundesgericht einzureichen ( Art. 100 Abs. 1 BGG ).</w:t>
      </w:r>
    </w:p>
    <w:p>
      <w:r>
        <w:t>Der angefochtene Entscheid ging am 6. September 2016 beim damaligen Rechtsvertreter des Beschwerdeführers ein. Diese Zustellung gilt als Zustellung an den Beschwerdeführer selbst. Die Beschwerdefrist begann folglich am 7. September 2016 zu laufen. Die Beschwerde musste daher, um rechtzeitig zu sein, spätestens am 6. Oktober 2016 beim Bundesgericht eingereicht oder zu dessen Handen der Schweizerischen Post übergeben werden ( Art. 48 BGG ).</w:t>
      </w:r>
    </w:p>
    <w:p>
      <w:r>
        <w:t>Die Beschwerde wurde jedoch erst am 7. Oktober 2016 zur Post gebracht. Sie ist verspätet. Darauf ist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