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6B_116/2019 vom 11. März 2019</w:t>
      </w:r>
    </w:p>
    <w:p>
      <w:r>
        <w:t>Bundesgericht, 2019-03-11, FR</w:t>
      </w:r>
    </w:p>
    <w:p>
      <w:r>
        <w:rPr>
          <w:b/>
        </w:rPr>
        <w:t xml:space="preserve">Quelle: </w:t>
      </w:r>
      <w:r>
        <w:t>https://mcp.opencaselaw.ch/entscheid/bger_6B_116_2019</w:t>
      </w:r>
    </w:p>
    <w:p>
      <w:r>
        <w:t>FR: TF 6B_116/2019 du 11 mars 2019</w:t>
      </w:r>
    </w:p>
    <w:p>
      <w:r>
        <w:t>IT: TF 6B_116/2019 del 11 marzo 2019</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la recourante a déposé une plainte pénale contre l'intimé pour viol et violation du domaine secret ou du domaine privé au moyen d'un appareil de prise de vues. Il s'agit de graves infractions contre l'intégrité sexuelle et la vie privée. La recourante a recouru contre l'ordonnance de classement et a donc participé à la procédure de dernière instance cantonale. Dans son mémoire de recours, elle a sollicité le versement de 15'000 fr. à titre de tort moral, au motif que le comportement de l'intimé lui avait causé un traumatisme durable. La recourante réalise ainsi les conditions posées à l'art. 81 al. 1 let. a et b ch. 5 LTF et a donc qualité pour recourir.</w:t>
      </w:r>
    </w:p>
    <w:p>
      <w:r>
        <w:rPr>
          <w:b/>
        </w:rPr>
        <w:t>E. 2</w:t>
      </w:r>
    </w:p>
    <w:p>
      <w:r>
        <w:t>La recourante dénonce la violation du principe " in dubio pro duriore ".</w:t>
      </w:r>
    </w:p>
    <w:p>
      <w:r>
        <w:rPr>
          <w:b/>
        </w:rPr>
        <w:t>E. 2.1</w:t>
      </w:r>
    </w:p>
    <w:p>
      <w:r>
        <w:t>Selon l' art. 319 al. 1 CPP , le ministère public ordonne le classement de tout ou partie de la procédure lorsqu'aucun soupçon justifiant une mise en accusation n'est établi (let. a) ou lorsque les éléments constitutifs d'une infraction ne sont pas réunis (let. b).</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6B_1356/2016 du 5 janvier 2018 consid. 3.3.3; 6B_874/2017 du 18 avril 2018 consid. 5.1; 6B_1177/2017 du 16 avril 2018 consid. 2.1; 6B_865/2017 du 25 juillet 2018 consid. 3.1).</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ATF 143 IV 241 consid. 2.2.2 p. 243 et les arrêts cités; arrêts 6B_874/2017 précité consid. 5.1 et 6B_865/2017 précité consid. 3.1).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arrêts 6B_874/2017 précité consid. 5.1 et 6B_865/2017 précité consid. 3.1).</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arrêts 6B_874/2017 précité consid. 5.1; 6B_1177/2017 précité consid. 2.1; 6B_865/2017 précité consid. 3.1).</w:t>
      </w:r>
    </w:p>
    <w:p>
      <w:r>
        <w:rPr>
          <w:b/>
        </w:rPr>
        <w:t>E. 2.2</w:t>
      </w:r>
    </w:p>
    <w:p>
      <w:r>
        <w:t>Selon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 viol constitue une lex specialis par rapport à la contrainte sexuelle pour le cas où la victime est une femme et qu'il lui est imposé l'acte sexuel proprement dit ( art. 190 al. 1 CP ).</w:t>
      </w:r>
    </w:p>
    <w:p>
      <w:r>
        <w:rPr>
          <w:b/>
        </w:rPr>
        <w:t>E. 2.2.1</w:t>
      </w:r>
    </w:p>
    <w:p>
      <w:r>
        <w:t>Le viol ( art. 190 CP ) et la contrainte sexuelle ( art. 189 CP ) supposent l'emploi des mêmes moyens et la même situation de contrainte ( ATF 122 IV 97 consid. 2a p. 99). Il s'agit notamment de l'usage de la violence et de l'exercice de pressions psychiques.</w:t>
      </w:r>
    </w:p>
    <w:p>
      <w:r>
        <w:t>La violence désigne l'emploi volontaire de la force physique sur la personne de la victime dans le but de la faire céder (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(arrêts 6B_570/2012 du 26 novembre 2012 consid. 1.2; 6S.126/2007 du 7 juin 2007 consid. 6.2).</w:t>
      </w:r>
    </w:p>
    <w:p>
      <w:r>
        <w:t>En introduisant la notion de " pressions psychiques ", le législateur a voulu viser les cas où la victime se trouve dans une situation sans espoir, sans pour autant que l'auteur ait recouru à la force physique ou à la violence ( ATF 128 IV 106 consid. 3a/bb p. 110-111;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que la pression psychique visée par l' art. 190 CP soit importante. L'exploitation de rapports généraux de dépendance ou d'amitié ou même la subordination comme celle de l'enfant à l'adulte ne suffisent en règle générale pas pour admettre une pression psychologique au sens des art. 189 et 190 CP ( ATF 131 IV 107 consid. 2.2 p. 109; 128 IV 97 consid. 2b/aa et cc p. 99 et 102).</w:t>
      </w:r>
    </w:p>
    <w:p>
      <w:r>
        <w:rPr>
          <w:b/>
        </w:rPr>
        <w:t>E. 2.2.2</w:t>
      </w:r>
    </w:p>
    <w:p>
      <w:r>
        <w:t>Si les parties ont admis avoir entretenu des relations sexuelles, leurs versions du déroulement des faits sont contradictoires. L'intimé a contesté avoir mis ses doigts dans le vagin de la recourante le 19 mars 2017. Il a déclaré qu'ils s'étaient uniquement embrassés; la recourante aurait enlevé son pull, mais refusé d'enlever son soutien-gorge, décision qu'il aurait respectée. Concernant le 26 mars 2017, l'intimé a admis avoir eu une relation sexuelle complète, mais a déclaré que celle-ci était consentie. Enfin, il a nié avoir entretenu avec la recourante des relations sexuelles les 2 et 17 avril 2017.</w:t>
      </w:r>
    </w:p>
    <w:p>
      <w:r>
        <w:t>L'ensemble des faits, et en particulier les sms échangés entre les parties, révèlent un comportement de la recourante, qui ne peut être mis en relation avec des abus sexuels. Alors que le 19 mars 2017, l'intimé aurait perpétré le premier acte sexuel, la recourante a le même jour, à 22h00, fait part à l'intimé de ce qu'elle était bien rentrée, en lui souhaitant bonne nuit. De plus, elle a proposé de le revoir le lendemain par un sms adressé à 10h12. Le 26 mars 2017, la recourante a accepté de se rendre à nouveau à B.________, où les parties ont entretenu une relation sexuelle complète. Vu le déroulement des premières rencontres au domicile de l'intimé les 19 et 26 mars 2017, la recourante ne pouvait pas ne pas avoir conscience que l'intimé pourrait souhaiter d'autres relations intimes. Elle a néanmoins continué à le voir et a pris le train par deux fois, à savoir les 2 et 17 avril pour aller chez lui. Lors de son audition par le ministère public, la recourante a indiqué qu'elle était à chaque fois retournée chez l'intimé parce qu'elle " avait du plaisir à passer du temps avec lui " (PV aud. 1 l. 173). Elle a admis avoir eu des sentiments pour l'intimé (PV aud. 1 l. 182), avoir été amoureuse de lui (PV aud 1, l. 176). Au vu du déroulement des faits et des déclarations de la recourante, il faut donc admettre que la recourante a accepté les actes sexuels ou, du moins, n'a pas manifesté clairement son éventuel désaccord.</w:t>
      </w:r>
    </w:p>
    <w:p>
      <w:r>
        <w:t>La recourante soutient avoir été sous l'emprise de l'intimé qui était médecin et était de vingt ans son aîné. Il ne ressort pas du dossier que l'intimé aurait usé de menaces (par exemple contre des êtres chers; ATF 131 IV 167 consid. 3.1 p. 170) ou aurait créé un climat de psycho-terreur ( ATF 126 IV 124 consid. 3 p. 128). Développée avant tout en matière d'abus commis sur des enfants, la jurisprudence relative à la notion de " pressions d'ordre psychique " a certes admis qu'une situation d'infériorité physique et de dépendance sociale et émotionnelle pouvait suffire (compagnon de la mère qui remplace le père: ATF 124 IV 154 ; père à l'égard de son fils: arrêt 6B_24/2010 du 20 mai 2010; éducateur: arrêt 6S.465/2005 du 8 février 2006; enseignant de sport: ATF 128 IV 97 ). Le fait que la recourante admirait l'intimé et qu'elle avait des sentiments pour lui ne suffit toutefois pas en l'espèce à fonder une contrainte sous la forme de pressions psychiques. En effet, on ne voit pas en quoi l'intimé aurait endossé un rôle quasi paternel, de sorte que la recourante se serait trouvée dans une dépendance émotionnelle et sociale, qui l'aurait empêchée de se soustraire à ses avances. Comme l'a déclaré la jurisprudence à maintes reprises, un simple rapport d'amitié ou amoureux ne suffit pas pour fonder des pressions d'ordre psychique ( ATF 131 IV 107 consid. 2.2 p. 109; arrêt 6S.450/2006 du 20 février 2007 consid. 7.1).</w:t>
      </w:r>
    </w:p>
    <w:p>
      <w:r>
        <w:rPr>
          <w:b/>
        </w:rPr>
        <w:t>E. 2.2.3</w:t>
      </w:r>
    </w:p>
    <w:p>
      <w:r>
        <w:t>La recourante reproche à la cour cantonale de ne pas avoir entendu sa psychologue, à laquelle elle aurait décrit les pénétrations forcées perpétrées par l'intimé, son refus catégorique, le fait que l'intimé aurait retiré son préservatif malgré les vives protestations de sa victime, sa façon de l'entraver dans sa respiration en lui bouchant le nez, ainsi que tous les autres actes de violence dont l'intimé s'est servi pour parvenir à ses fins.</w:t>
      </w:r>
    </w:p>
    <w:p>
      <w:r>
        <w:t>La psychologue a produit deux certificats, l'un du 10 novembre 2017 (pièce 6/1) et l'autre du 19 juin 2018 (pièce 25/2). Elle y a décrit la relation de la recourante avec l'intimé, l'emprise que celui-ci avait exercée sur la recourante et l'état dépressif dans lequel s'était trouvée sa patiente à la suite de la rupture. La cour de céans ne voit pas les éléments que la thérapeute en tant que témoin indirect pourrait apporter qui ne figureraient pas déjà dans les procès-verbaux d'audition de la recourante et dans les certificats produits. Or, comme vu ci-dessus, il découle des déclarations de la recourante et de l'ensemble des circonstances que la recourante a consenti aux actes sexuels ou, du moins, n'a pas manifesté clairement son désaccord.</w:t>
      </w:r>
    </w:p>
    <w:p>
      <w:r>
        <w:rPr>
          <w:b/>
        </w:rPr>
        <w:t>E. 2.3</w:t>
      </w:r>
    </w:p>
    <w:p>
      <w:r>
        <w:t>La recourante pense que l'intimé a enregistré des images de leurs relations sexuelles à son insu (cf. art. 179 quater CP). Elle explique que cette hypothèse a été émise par sa thérapeute, en raison des enchaînements des positions lors des ébats et du fait que la lumière devait rester allumée. Selon la recourante, l'intimé aurait eu le temps de se séparer des supports sur lesquels les enregistrements auraient été effectués dans le laps de temps séparant les deux perquisitions.</w:t>
      </w:r>
    </w:p>
    <w:p>
      <w:r>
        <w:t>Les autorités ont saisi les supports appartenant à l'intimé et les ont analysés. La Division Traces Informatiques (DTI) de la police de sûreté vaudoise - qui utilise un logiciel qui traite toutes les images, même celles qui auraient pu être effacées (cf. pièce 27) -, n'a pas découvert de fichier contenant des documents de type pédopornographique et/ou des images de la recourante, en particulier lors de scènes sexuelles dans la chambre à coucher.</w:t>
      </w:r>
    </w:p>
    <w:p>
      <w:r>
        <w:t>Il paraît exclu que l'intimé ait pu faire disparaître ces images. En effet, lors de la première perquisition, le 8 février 2018, il ignorait qu'une plainte avait été déposée contre lui et ne pouvait donc se douter que les personnes derrière sa porte palière étaient des policiers, ceux-ci ne s'étant pas annoncés comme tels; on ne voit pas dès lors pour quelles raisons il se serait débarrassé des supports sur lesquels les enregistrements auraient, le cas échéant, été effectués. Lors de la seconde perquisition, le 13 février 2017, le laps de temps écoulé (environ vingt minutes) entre la venue des enquêteurs et l'ouverture de la porte palière par l'intimé était trop court pour permettre de réécrire des données qui auraient été effacées.</w:t>
      </w:r>
    </w:p>
    <w:p>
      <w:r>
        <w:t>Il faut encore relever que l'accusation de violation du domaine secret ou privé au moyen d'un appareil de prise de vues découle uniquement d'une hypothèse émise par la thérapeute de la recourante. Cette dernière n'a pas fait part de la présence d'un quelconque appareil permettant d'effectuer des prises de vues, étant précisé qu'elle a uniquement mentionné l'existence d'un ordinateur portable dont l'accès lui était interdit et qui ne se trouvait pas dans la chambre à coucher.</w:t>
      </w:r>
    </w:p>
    <w:p>
      <w:r>
        <w:rPr>
          <w:b/>
        </w:rPr>
        <w:t>E. 2.4</w:t>
      </w:r>
    </w:p>
    <w:p>
      <w:r>
        <w:t>En définitive, une mise en accusation de l'intimé tant pour contrainte sexuelle et viol que pour violation du domaine secret ou du domaine privé au moyen d'un appareil de prise de vues aboutirait très vraisemblablement à sa libération. C'est donc à juste titre que la cour cantonale a confirmé l'ordonnance de classement.</w:t>
      </w:r>
    </w:p>
    <w:p>
      <w:r>
        <w:rPr>
          <w:b/>
        </w:rPr>
        <w:t>E. 3</w:t>
      </w:r>
    </w:p>
    <w:p>
      <w:r>
        <w:t>Dénonçant la violation de son droit d'être entendue, la recourante fait grief à la cour cantonale d'avoir rejeté sa requête tendant à l'audition de sa thérapeute.</w:t>
      </w:r>
    </w:p>
    <w:p>
      <w:r>
        <w:rPr>
          <w:b/>
        </w:rPr>
        <w:t>E. 3.1</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rPr>
          <w:b/>
        </w:rPr>
        <w:t>E. 3.2</w:t>
      </w:r>
    </w:p>
    <w:p>
      <w:r>
        <w:t>En l'espèce, la recourante a produit deux certificats de sa thérapeute (cf. ci-dessus). Sur la base de ceux-ci, mais surtout sur la base des déclarations de la recourante et de l'intimé, la cour cantonale est arrivée à la conclusion que la recourante avait consenti aux actes sexuels ou, du moins, n'avait pas opposé clairement son désaccord et que l'intimé n'avait pas usé de pressions psychiques au sens des art. 189 et 190 CP pour obtenir les faveurs sexuelles de la recourante. Dans une audition, la thérapeute ne pourrait rapporter que les propos de sa patiente, faute d'avoir assisté aux faits incriminés. La cour de céans ne voit pas quel élément la thérapeute pourrait dès lors apporter qui ne figurent pas déjà dans les procès-verbaux d'audition de la recourante et dans ces attestations. Pour sa part, la recourante n'a pas démontré que la cour cantonale aurait établi les faits de manière arbitraire et notamment qu'elle aurait omis de tenir compte de certains éléments. C'est, partant, sans violer le droit d'être entendue de la recourante que la cour cantonale a rejeté ses réquisitions de preuves. Le grief doit être rejeté dans la mesure où il est recevable.</w:t>
      </w:r>
    </w:p>
    <w:p>
      <w:r>
        <w:rPr>
          <w:b/>
        </w:rPr>
        <w:t>E. 4</w:t>
      </w:r>
    </w:p>
    <w:p>
      <w:r>
        <w:t>Le recours doit être rejeté dans la mesure où il est recevable.</w:t>
      </w:r>
    </w:p>
    <w:p>
      <w:r>
        <w:t>La recourante qui succombe devra supporter les frais judiciaires ( art. 66 al. 1 LTF ).</w:t>
      </w:r>
    </w:p>
    <w:p>
      <w:r>
        <w:t>Il n'y a pas lieu d'allouer d'indemnité à l'intimé qui n'a pas été invité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