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116/2012 vom 30. März 2012</w:t>
      </w:r>
    </w:p>
    <w:p>
      <w:r>
        <w:t>Bundesgericht, 2012-03-30, DE</w:t>
      </w:r>
    </w:p>
    <w:p>
      <w:r>
        <w:rPr>
          <w:b/>
        </w:rPr>
        <w:t xml:space="preserve">Quelle: </w:t>
      </w:r>
      <w:r>
        <w:t>https://mcp.opencaselaw.ch/entscheid/bger_6B_116_2012</w:t>
      </w:r>
    </w:p>
    <w:p>
      <w:r>
        <w:t>FR: TF 6B 116/2012 du 30 mars 2012</w:t>
      </w:r>
    </w:p>
    <w:p>
      <w:r>
        <w:t>IT: TF 6B 116/2012 del 30 marzo 2012</w:t>
      </w:r>
    </w:p>
    <w:p>
      <w:pPr>
        <w:pStyle w:val="Heading2"/>
      </w:pPr>
      <w:r>
        <w:t>Regeste</w:t>
      </w:r>
    </w:p>
    <w:p>
      <w:r>
        <w:t>Gehilfenschaft zur versuchten schweren Körperverletzung und zum Angriff; Strafzumessung | Straftaten</w:t>
      </w:r>
    </w:p>
    <w:p>
      <w:pPr>
        <w:pStyle w:val="Heading2"/>
      </w:pPr>
      <w:r>
        <w:t>Erwägungen</w:t>
      </w:r>
    </w:p>
    <w:p>
      <w:r>
        <w:rPr>
          <w:b/>
        </w:rPr>
        <w:t>E. 1</w:t>
      </w:r>
    </w:p>
    <w:p>
      <w:r>
        <w:t>Das Bundesgericht vereinigt mehrere Verfahren, wenn sie in einem engen sachlichen Zusammenhang stehen und die gleichen Parteien und Rechtsfragen betreffen (vgl. BGE 126 V 283 E. 1). Diese Voraussetzungen sind vorliegend erfüllt.</w:t>
      </w:r>
    </w:p>
    <w:p>
      <w:r>
        <w:rPr>
          <w:b/>
        </w:rPr>
        <w:t>E. 2.1</w:t>
      </w:r>
    </w:p>
    <w:p>
      <w:r>
        <w:t>Die Beschwerdeführer rügen, die Vorinstanz habe sie in unrichtiger Anwendung von Art. 25 StGB als Mittäter statt als Gehilfen qualifiziert. B.________ habe die Tat schon vollendet gehabt, als sie den Entschluss gefasst hätten, in das Geschehen einzugreifen (Beschwerden Rz. 12 ff.).</w:t>
      </w:r>
    </w:p>
    <w:p>
      <w:r>
        <w:rPr>
          <w:b/>
        </w:rPr>
        <w:t>E. 2.2</w:t>
      </w:r>
    </w:p>
    <w:p>
      <w:r>
        <w:t>Die Vorinstanz führt aus, B.________ habe mit dem Griff einer Pistole fünf- bis siebenmal auf den Kopf des Privatklägers eingeschlagen, während die Beschwerdeführer diesen von hinten an beiden Armen festhielten, so dass er sich nicht zur Wehr setzen konnte. Der Beitrag aller beschuldigten Personen sei für das Delikt wesentlich gewesen, weshalb sie alle als Mittäter zu betrachten seien (Entscheide S. 10 f. Ziff. 4.3).</w:t>
      </w:r>
    </w:p>
    <w:p>
      <w:r>
        <w:rPr>
          <w:b/>
        </w:rPr>
        <w:t>E. 2.3</w:t>
      </w:r>
    </w:p>
    <w:p>
      <w:r>
        <w:t>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jedoch nicht. Der Mittäter muss vielmehr bei der Entschliessung, Planung oder Ausführung der Tat tatsächlich mitwirken. Mittäterschaft setzt unter anderem einen gemeinsamen Tatentschluss voraus, wobei dieser nicht ausdrücklich bekundet werden muss. Es genügt, wenn er konkludent zum Ausdruck kommt. Nicht erforderlich ist, dass der Mittäter bei der Entschlussfassung mitwirkt, sondern es reicht aus, dass er sich später den Vorsatz seiner Mittäter aneignet.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Demgegenüber ist gemäss Art. 25 StGB als Gehilfe strafbar, wer zu einem Verbrechen oder Vergehen lediglich vorsätzlich Hilfe leistet ( BGE 130 IV 58 E. 9.2.1; 125 IV 134 E. 3a; 120 IV 265 E. 2c/aa; je mit Hinweisen).</w:t>
      </w:r>
    </w:p>
    <w:p>
      <w:r>
        <w:rPr>
          <w:b/>
        </w:rPr>
        <w:t>E. 2.4</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Es gelten erhöhte Begründungsanforderungen ( Art. 106 Abs. 2 BGG ; BGE 137 IV 1 E. 4.2.3; 136 II 489 E. 2.8; je mit Hinweisen). Soweit die Beschwerdeführer geltend machen, sie hätten erst nach der vollendeten Tat in das Geschehen eingegriffen, weichen sie von der vorinstanzlichen Sachverhaltsfeststellung ab. Darauf ist nicht einzutreten, da die Beschwerdeführer nicht dartun, weshalb die Beweiswürdigung der Vorinstanz offensichtlich unhaltbar und damit willkürlich sein soll ( Art. 105 Abs. 1 BGG ).</w:t>
      </w:r>
    </w:p>
    <w:p>
      <w:r>
        <w:rPr>
          <w:b/>
        </w:rPr>
        <w:t>E. 2.5</w:t>
      </w:r>
    </w:p>
    <w:p>
      <w:r>
        <w:t>Nach den verbindlichen Feststellungen der Vorinstanz hinderten die Beschwerdeführer den Privatkläger daran, seine Hände schützend vor den Kopf zu halten. Gerade deshalb war es B.________ möglich, fünf- bis siebenmal auf den ungeschützten Kopf des wehrlosen Privatklägers einzuschlagen und den Tatbestand der versuchten schweren Körperverletzung zu verwirklichen (Entscheide S. 7 Ziff. 3.4, S. 12 Ziff. 6.2). Die Vorinstanz qualifiziert die Beschwerdeführer daher zu Recht als Mittäter. Eine Verletzung von Art. 25 StGB liegt nicht vor.</w:t>
      </w:r>
    </w:p>
    <w:p>
      <w:r>
        <w:rPr>
          <w:b/>
        </w:rPr>
        <w:t>E. 3</w:t>
      </w:r>
    </w:p>
    <w:p>
      <w:r>
        <w:t>Die Beschwerdeführer beanstanden die vorinstanzliche Strafzumessung.</w:t>
      </w:r>
    </w:p>
    <w:p>
      <w:r>
        <w:rPr>
          <w:b/>
        </w:rPr>
        <w:t>E. 3.1</w:t>
      </w:r>
    </w:p>
    <w:p>
      <w:r>
        <w:t>Der neue Allgemeine Teil des Strafgesetzbuches hat die bisher geltenden Strafzumessungsgrundsätze in Art. 47 Abs. 1 StGB beibehalten ( BGE 136 IV 55 E. 5.4 mit Hinweisen). Danach misst das Gericht die Strafe nach dem Verschulden des Täters zu. Es berücksichtigt das Vorleben, die persönlichen Verhältnisse sowie die Wirkung der Strafe auf das Leben des Täters. Die Bewertung des Verschuldens wird in Art. 47 Abs. 2 StGB dahin 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Gerichts, in welchem Umfang es die verschiedenen Strafzumessungsfaktoren berücksichtigt. Es ist nicht gehalten, in Zahlen oder Prozenten anzugeben, wie es die einzelnen Strafzumessungskriterien wertet ( BGE 136 IV 55 E. 5.6; 127 IV 101 E. 2c). Das Bundesgericht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134 IV 17 E. 2.1 mit Hinweisen).</w:t>
      </w:r>
    </w:p>
    <w:p>
      <w:r>
        <w:rPr>
          <w:b/>
        </w:rPr>
        <w:t>E. 3.2</w:t>
      </w:r>
    </w:p>
    <w:p>
      <w:r>
        <w:t>Die Vorinstanz legt den Strafrahmen in Übereinstimmung mit Art. 49 Abs. 1 StGB fest und führt zutreffend aus, dass der Versuch gemäss Art. 22 Abs. 1 StGB im konkreten Fall innerhalb dieses Strafrahmens zu berücksichtigen ist (Entscheide S. 11 Ziff. 5). Sie würdigt die Tat- und Täterkomponenten. Bei der versuchten schweren Körperverletzung berücksichtigt sie das feige Verhalten der Beschwerdeführer sowie die Gefahr für die Gesundheit des Privatklägers, welche die Beschwerdeführer bewusst in Kauf nahmen. Die Beschwerdeführer offenbarten gemäss der Vorinstanz ein massives Gewaltpotenzial und eine grosse kriminelle Energie. Dass der Taterfolg nicht noch schlimmer ausfiel, sei alleine dem Zufall zu verdanken. Zu beachten sei jedoch, dass der Privatkläger keine schweren Körperverletzungen davontrug, was sich zugunsten der Beschwerdeführer auswirke (Entscheide S. 12 Ziff. 6.2). Beim Angriff wertet die Vorinstanz das skrupellose Vorgehen der Beschwerdeführer und den Umstand, dass diese sich aus nichtigem Grund daran beteiligten (Entscheide S. 12 f. Ziff. 6.2). Sie trägt den beruflichen, familiären und finanziellen Verhältnissen der Beschwerdeführer Rechnung. Einsicht und Reue, die zu deren Gunsten hätten gewertet werden können, verneint sie (Entscheide S. 13 Ziff. 6.3). Im Ergebnis geht sie von einem mittelschweren bis schweren Verschulden aus (Entscheide S. 13 Ziff. 6.4).</w:t>
      </w:r>
    </w:p>
    <w:p>
      <w:r>
        <w:rPr>
          <w:b/>
        </w:rPr>
        <w:t>E. 3.3</w:t>
      </w:r>
    </w:p>
    <w:p>
      <w:r>
        <w:t>Die Beschwerdeführer rügen, die Vorinstanz habe bei der schweren Körperverletzung nicht berücksichtigt, dass es sich um einen Versuch handelte. Die Strafzumessung sei bezüglich der Gewichtung des blossen Versuchs nicht überprüfbar und verletze Art. 47 StGB sowie Art. 50 StGB (Beschwerden Rz. 16 ff.). Dies trifft nicht zu. Der Strafrahmen der schweren Körperverletzung ist weit gesteckt. Art. 122 StGB sieht Geldstrafe nicht unter 180 Tagessätzen oder Freiheitsstrafe bis zu zehn Jahren vor. Die Vorinstanz musste das Verschulden innerhalb des grossen Spektrums vergleichbarer Taten gewichten. Die konkreten Tatumstände legen keinesfalls ein leichtes Verschulden nahe. Die Vorinstanz durfte das Verschulden der Beschwerdeführer als mittelschwer bis schwer einstufen. Die gestützt darauf festgesetzte Strafe von 16 Monaten liegt innerhalb des richterlichen Ermessens. Die Vorinstanz berücksichtigt hinreichend, dass es beim Versuch blieb. Sie prüft in einem ersten Schritt, ob der Strafrahmen wegen des Versuchs zu unterschreiten ist (Entscheide S. 11 Ziff. 5). Sodann trägt sie bei der Strafzumessung innerhalb dieses Strafrahmens dem Umstand Rechnung, dass der Privatkläger keine schweren Körperverletzungen davontrug (Entscheide S. 12 Ziff. 6.2). Ihre Entscheide sind ausreichend begründet. Die Gewichtung des Versuchs ergibt sich aus den angefochtenen Urteilen.</w:t>
      </w:r>
    </w:p>
    <w:p>
      <w:r>
        <w:rPr>
          <w:b/>
        </w:rPr>
        <w:t>E. 3.4</w:t>
      </w:r>
    </w:p>
    <w:p>
      <w:r>
        <w:t>Die Beschwerdeführer beanstanden, die Vorinstanz habe Art. 47 StGB verletzt, indem sie keine besondere Strafempfindlichkeit angenommen habe. Weil sie zu einer Freiheitsstrafe von mehr als einem Jahr verurteilt worden seien, liefen sie Gefahr, die Schweiz verlassen und in ein Land zurückkehren zu müssen, in welchem sie keine Perspektiven hätten. Dies sei für sie und ihre Familien verheerend. Die Ausbildung und die Zukunftschancen seien in der Schweiz besser. Es sei notorisch, dass die Arbeitslosigkeit in Serbien hoch und dort keine Arbeit zu finden sei (Beschwerden Rz. 19 ff.). Nach Art. 62 lit. b sowie Art. 63 Abs. 1 lit. a des Bundesgesetzes über die Ausländerinnen und Ausländer vom 16. Dezember 2005 (SR 142.20) können Aufenthalts- und Niederlassungsbewilligungen widerrufen werden, wenn eine ausländische Person zu einer längerfristigen Freiheitsstrafe verurteilt worden ist. Dieser Widerrufsgrund liegt vor, wenn eine Freiheitsstrafe von mehr als einem Jahr ausgesprochen wurde ( BGE 135 II 377 E. 4.2). Die zuständige Behörde entzieht die Bewilligung nur, wenn die Interessenabwägung im Einzelfall dies als verhältnismässig erscheinen lässt. Dabei berücksichtigt sie namentlich die Schwere des Verschuldens, den Grad der Integration beziehungsweise die Dauer der bisherigen Anwesenheit sowie die dem Betroffenen und seiner Familie drohenden Nachteile ( BGE 135 II 377 E. 4.3). Die ausländerrechtlichen Folgen, welche die Beschwerdeführer allenfalls treffen könnten, drohen jeder ausländischen Person, die zu einer Freiheitsstrafe von mehr als einem Jahr verurteilt wurde. Sie führen nicht ohne weiteres zu einer Strafminderung (Urteile 6B_829/2010 vom 28. Februar 2011 E. 5.4; 6B_892/2010 vom 22. Dezember 2010 E. 3.3 mit Hinweisen). Die Beschwerdeführer legen nicht dar, dass sie wegen einer besonderen Strafempfindlichkeit ungleich schwerer getroffen werden als andere ausländische Personen.</w:t>
      </w:r>
    </w:p>
    <w:p>
      <w:r>
        <w:rPr>
          <w:b/>
        </w:rPr>
        <w:t>E. 3.5</w:t>
      </w:r>
    </w:p>
    <w:p>
      <w:r>
        <w:t>Die Rügen der Beschwerdeführer sind unbegründet. Die Vorinstanz nahm die Strafzumessung korrekt vor. Verletzungen von Art. 47 StGB oder Art. 50 StGB liegen nicht vor.</w:t>
      </w:r>
    </w:p>
    <w:p>
      <w:r>
        <w:rPr>
          <w:b/>
        </w:rPr>
        <w:t>E. 4</w:t>
      </w:r>
    </w:p>
    <w:p>
      <w:r>
        <w:t>Die Beschwerden sind abzuweisen, soweit darauf eingetreten werden kann. Bei diesem Ausgang tragen die Beschwerdeführer die Kosten des bundesgerichtlichen Verfahrens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