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1167/2015 vom 25. August 2016</w:t>
      </w:r>
    </w:p>
    <w:p>
      <w:r>
        <w:t>Bundesgericht, 2016-08-25, DE</w:t>
      </w:r>
    </w:p>
    <w:p>
      <w:r>
        <w:rPr>
          <w:b/>
        </w:rPr>
        <w:t xml:space="preserve">Quelle: </w:t>
      </w:r>
      <w:r>
        <w:t>https://mcp.opencaselaw.ch/entscheid/bger_6B_1167_2015</w:t>
      </w:r>
    </w:p>
    <w:p>
      <w:r>
        <w:t>FR: TF 6B 1167/2015 du 25 août 2016</w:t>
      </w:r>
    </w:p>
    <w:p>
      <w:r>
        <w:t>IT: TF 6B 1167/2015 del 25 agosto 2016</w:t>
      </w:r>
    </w:p>
    <w:p>
      <w:pPr>
        <w:pStyle w:val="Heading2"/>
      </w:pPr>
      <w:r>
        <w:t>Regeste</w:t>
      </w:r>
    </w:p>
    <w:p>
      <w:r>
        <w:t>Strafzumessung (versuchte Erpressung usw.); rechtliches Gehör | Strafrecht (allgemein)</w:t>
      </w:r>
    </w:p>
    <w:p>
      <w:pPr>
        <w:pStyle w:val="Heading2"/>
      </w:pPr>
      <w:r>
        <w:t>Erwägungen</w:t>
      </w:r>
    </w:p>
    <w:p>
      <w:r>
        <w:rPr>
          <w:b/>
        </w:rPr>
        <w:t>E. 1.1</w:t>
      </w:r>
    </w:p>
    <w:p>
      <w:r>
        <w:t>Der Beschwerdeführer rügt primär eine Verletzung seines rechtlichen Gehörs im Zusammenhang mit der Überprüfungsbefugnis der Vorinstanz ( Art. 29 Abs. 2 BV ; Art. 3 Abs. 2 lit. c und Art. 404 StPO ). Er macht geltend, die Vorinstanz habe ihre Kognition unzulässig beschränkt, indem sie aufgrund des Rückzugs der Berufung im Schuldpunkt angenommen habe, der erstinstanzlich festgestellte Sachverhalt sei auch mit Bezug auf den Strafpunkt verbindlich erstellt. Sie hätte gleichwohl eine eigene Sachverhaltsfeststellung vornehmen und sämtliche verschuldensrelevanten Tatumstände prüfen müssen, zumal der vom Beschwerdeführer anerkannte Sachverhalt in wesentlichen Punkten vom erstinstanzlich festgestellten abweiche. Dies betreffe namentlich Fragen zum zeitlichen Ablauf der Tat, zum eigentlichen Tathergang, zu den Hintergründen der Tatbegehung und zur Rolle des Privatklägers sowie seines Rechtsvertreters. Diese Umstände seien für die Strafzumessung bedeutsam. Die Vorinstanz habe dem Beschwerdeführer zudem keine Gelegenheit gegeben, sich zur Kognitionsbeschränkung zu äussern, was ebenfalls sein rechtliches Gehör verletze. Sie habe verkannt, dass sie zu seinen Gunsten auch nicht angefochtene Punkte hätte überprüfen können, um gesetzwidrige oder unbillige Entscheidungen zu verhindern.</w:t>
      </w:r>
    </w:p>
    <w:p>
      <w:r>
        <w:rPr>
          <w:b/>
        </w:rPr>
        <w:t>E. 1.2</w:t>
      </w:r>
    </w:p>
    <w:p>
      <w:r>
        <w:t>Die Vorinstanz erwägt, der Beschwerdeführer hätte auch den Schuldpunkt anfechten müssen, wenn er zwar die rechtliche Würdigung des angeklagten Sachverhalts, nicht aber die für die Strafzumessung massgebenden Teile desselben anerkenne. Da er dies unterlassen habe, könnten im Berufungsverfahren Sachverhaltsaspekte bei der Strafzumessung nur noch thematisiert werden, soweit die erstinstanzlichen Sachverhaltsfeststellungen unvollständig, unklar oder widersprüchlich seien. Dies sei jedoch nicht der Fall, weshalb das Berufungsgericht den von der ersten Instanz verbindlich festgestellten Sachverhalt der Strafzumessung zugrunde zu legen habe.</w:t>
      </w:r>
    </w:p>
    <w:p>
      <w:r>
        <w:rPr>
          <w:b/>
        </w:rPr>
        <w:t>E. 1.3</w:t>
      </w:r>
    </w:p>
    <w:p>
      <w:r>
        <w:t>Der Rechtsauffassung der Vorinstanz kann nicht gefolgt werden. Indem sie den vom erstinstanzlichen Gericht festgestellten Sachverhalt auch für die Strafzumessung für verbindlich erklärt, verkennt sie, dass das Berufungsgericht eine Rechtsmittelbehörde mit umfassender Kognition in rechtlicher und tatsächlicher Hinsicht ist (vgl. Art. 398 Abs. 2 und 3 StPO ; BGE 141 IV 244 E. 1.3.3 S. 248 mit Hinweisen; Urteil 6B_731/2015 vom 14. April 2016 E. 1.2.2). Im ebenfalls den Kanton Zürich betreffenden Entscheid 6B_297/2014 vom 24. November 2014 hat das Bundesgericht erwogen, dass das Gericht im Falle einer Beschränkung der Berufung auf die Strafzumessung seine Prüfung auf jene Punkte des Urteils ausdehnen darf, die in engem Zusammenhang mit der angefochtenen Strafhöhe stehen, und dass sich die Prüfungsbefugnis insbesondere auch auf straferhöhende oder strafmindernde Umstände bezieht. Das Bundesgericht stellte fest, dass die Berufungsinstanz ihre Kognition zu Unrecht beschränkt, wenn sie ihre Prüfung nicht auf die mit der Strafhöhe in engem Zusammenhang stehenden Punkte ausdehnt (a.a.O. E. 1.3 mit Hinweis). Nichts Anderes ergibt sich aus den von der Vorinstanz zitierten Urteilen 6B_567/2012 vom 18. Dezember 2012 und 6B_85/2013 vom 4. März 2013 (a.a.O. E. 2.2 resp. E. 2), deren Tragweite sie offensichtlich verkennt (vgl. auch Urteil 6B_548/2011 vom 14. Mai 2012 E. 3). Die vom Beschwerdeführer geltend gemachten Tatumstände sind durchaus geeignet, die Strafhöhe zu beeinflussen. Die Vorinstanz hätte sich deshalb damit auseinandersetzen müssen. Sie beschränkt ihre Überprüfungsbefugnis in unzulässiger Weise, wenn sie sich mit entscheidrelevanten Vorbringen nicht befasst (vgl. BGE 131 II 271 E. 11.7.1 S. 303 f.; Urteil 6B_72/2014 vom 27. November 2014 E. 3.4.2; je mit Hinweisen). Dadurch verweigert sie dem Beschwerdeführer das rechtliche Gehör. Er weist im Übrigen zu Recht darauf hin, dass es für ihn mit Kostenfolgen verbunden gewesen wäre, wenn er die Berufung auch im Schuldpunkt aufrecht erhalten, diesen dann aber anerkannt hätte.</w:t>
      </w:r>
    </w:p>
    <w:p>
      <w:r>
        <w:rPr>
          <w:b/>
        </w:rPr>
        <w:t>E. 1.4</w:t>
      </w:r>
    </w:p>
    <w:p>
      <w:r>
        <w:t>Die Beschwerde ist begründet. Auf die weiteren Anträge und Rügen des Beschwerdeführers ist nicht einzugehen. Nach dem Vorstehenden wird sich die Vorinstanz auch mit der von ihm gerügten Unverwertbarkeit einer Einvernahme des Privatklägers auseinanderzusetzen haben, sofern sich dies auf die Strafzumessung auswirkt. Im Übrigen erweist sich auch diese als ungenügend. Die Vorinstanz setzt sich mit mehreren expliziten Rügen des Beschwerdeführers nicht auseinander resp. äussert sich bei der Strafzumessung nicht dazu. Damit verletzt sie ihre Begründungspflicht. Dies ist nachzuholen.</w:t>
      </w:r>
    </w:p>
    <w:p>
      <w:r>
        <w:rPr>
          <w:b/>
        </w:rPr>
        <w:t>E. 2</w:t>
      </w:r>
    </w:p>
    <w:p>
      <w:r>
        <w:t>Die Beschwerde ist gutzuheissen. Der angefochtene Entscheid ist aufzuheben und die Sache an die Vorinstanz zurückzuweisen. Bei diesem Ausgang sind für das bundesgerichtliche Verfahren keine Kosten zu erheben ( Art. 66 Abs. 1 und 4 BGG ). Der Kanton Zürich hat dem Beschwerdeführer für das bundesgerichtliche Verfahren eine angemessene Entschädigung zu bezahlen ( Art. 68 Abs. 1 und 2 BGG ). Diese ist praxisgemäss seiner Rechtsvertreterin auszurichten.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