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6B_1166/2023 vom 13. Juni 2024</w:t>
      </w:r>
    </w:p>
    <w:p>
      <w:r>
        <w:t>Bundesgericht, 2024-06-13, FR</w:t>
      </w:r>
    </w:p>
    <w:p>
      <w:r>
        <w:rPr>
          <w:b/>
        </w:rPr>
        <w:t xml:space="preserve">Quelle: </w:t>
      </w:r>
      <w:r>
        <w:t>https://mcp.opencaselaw.ch/entscheid/bger_6B_1166_2023</w:t>
      </w:r>
    </w:p>
    <w:p>
      <w:r>
        <w:t>FR: TF 6B_1166/2023 du 13 juin 2024</w:t>
      </w:r>
    </w:p>
    <w:p>
      <w:r>
        <w:t>IT: TF 6B_1166/2023 del 13 giugno 2024</w:t>
      </w:r>
    </w:p>
    <w:p>
      <w:pPr>
        <w:pStyle w:val="Heading2"/>
      </w:pPr>
      <w:r>
        <w:t>Erwägungen</w:t>
      </w:r>
    </w:p>
    <w:p>
      <w:r>
        <w:rPr>
          <w:b/>
        </w:rPr>
        <w:t>E. 1</w:t>
      </w:r>
    </w:p>
    <w:p>
      <w:r>
        <w:t>Invoquant l'arbitraire dans l'établissement des faits et l'appréciation des preuves ( art. 105 al. 2 LTF et 9 Cst.) et la violation de la présomption d'innocence ( art. 10 CPP , 32 al. 2 Cst. et 6 par. 2 CEDH), le recourant reproche à la cour cantonale de ne pas l'avoir acquitté du chef d'accusation de tentative de brigandage et, subsidiairement, d'avoir retenu une coactivité, au lieu d'une complicité, entre lui et B.________.</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sur la notion d'arbitraire, cf. ATF 147 IV 73 consid. 4.1.2).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148 IV 409 consid. 2.2; 147 IV 73 consid. 4.1.2; 146 IV 88 consid. 1.3.1).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1.2</w:t>
      </w:r>
    </w:p>
    <w:p>
      <w:r>
        <w:t>Contrairement au complice qui est un participant secondaire qui prête assistance pour commettre un crime ou un délit ( ATF 144 IV 265 consid. 2.3.2; 132 IV 49 consid. 1.1),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149 IV 57 consid. 3.2.2; 135 IV 152 consid. 2.3.1; 130 IV 58 consid. 9.2.1).</w:t>
      </w:r>
    </w:p>
    <w:p>
      <w:r>
        <w:rPr>
          <w:b/>
        </w:rPr>
        <w:t>E. 1.3</w:t>
      </w:r>
    </w:p>
    <w:p>
      <w:r>
        <w:t>Le recourant considère que les éléments retenus par la cour cantonale ne démontrent pas sa participation à la tentative de braquage à W.________ et qu'il est arbitraire de retenir ceux-ci à charge, ce d'autant plus que, selon lui, l'implication de B.________ se fonde sur un nombre plus important d'éléments. Par ailleurs, il explique la présence de son ADN sur un gant abandonné sur les lieux du crime par le fait qu'il aurait nettoyé des voitures pour le compte de ce dernier.</w:t>
      </w:r>
    </w:p>
    <w:p>
      <w:r>
        <w:t>Par ces arguments, le recourant présente sa propre appréciation des faits, sans pour autant démontrer que ceux retenus par la cour cantonale, qui sous-tendent la coactivité, seraient arbitraires. De nature appellatoire, son argumentation est irrecevable.</w:t>
      </w:r>
    </w:p>
    <w:p>
      <w:r>
        <w:rPr>
          <w:b/>
        </w:rPr>
        <w:t>E. 1.4</w:t>
      </w:r>
    </w:p>
    <w:p>
      <w:r>
        <w:t>Savoir si une coactivité peut être considérée sur la base des faits retenus est également une question de droit. Sur la base des éléments, qui lient la cour de céans, le recourant n'ayant pas démontré leur arbitraire, il était correct de retenir une coaction en raison du rôle, plus important que celui qu'il admet, qu'il a endossé et de sa position privilégiée adoptée au sein des protagonistes de l'affaire. Même s'il n'est pas auteur direct des faits, il a pris part à la conception des projets durant de nombreux mois et a largement participé à la réalisation des agissements, ne serait-ce que par la mise en relation de B.________ et D.________ et par la transmission des horaires de tournée du dernier cité. Son rôle n'était pas celui d'un assistant ou d'un complice, il était indispensable et décisif, tant pour la tentative de brigandage échouée que pour le brigandage consommé (cf. jugement attaqué, p. 39). C'est à juste titre que la cour cantonale l'a condamné pour tentative de brigandage, ainsi qu'en qualité de coauteur.</w:t>
      </w:r>
    </w:p>
    <w:p>
      <w:r>
        <w:rPr>
          <w:b/>
        </w:rPr>
        <w:t>E. 2.1</w:t>
      </w:r>
    </w:p>
    <w:p>
      <w:r>
        <w:t>Le recourant invoque une violation de l' art. 71 al. 2 CP en ce sens que la créance compensatrice serait irrécouvrable au vu de sa situation financière obérée et qu'elle pourrait entraver sa réinsertion sociale. Il indique que, en tout état de cause, au vu du rôle restreint qu'il aurait adopté, il n'aurait eu droit qu'à une modique somme de l'entier du butin.</w:t>
      </w:r>
    </w:p>
    <w:p>
      <w:r>
        <w:rPr>
          <w:b/>
        </w:rPr>
        <w:t>E. 2.1.1</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au travers de l' art. 70 CP est d'empêcher qu'un comportement punissable procure un gain à l'auteur ou à des tiers, conformément à l'adage selon lequel "le crime ne doit pas payer" ( ATF 145 IV 237 consid. 3.2.1; 144 IV 1 consid. 4.2.1). L'État ne doit pas s'enrichir aux dépens du lésé. L' art. 70 CP ne doit pas non plus exposer l'auteur à devoir restituer à double l'avantage illicite obtenu au moyen de l'infraction préalable ( ATF 145 IV 237 consid. 3.2.2 et les références citées).</w:t>
      </w:r>
    </w:p>
    <w:p>
      <w:r>
        <w:rPr>
          <w:b/>
        </w:rPr>
        <w:t>E. 2.1.2</w:t>
      </w:r>
    </w:p>
    <w:p>
      <w:r>
        <w:t>Conformément à l' art. 71 CP , lorsque les valeurs patrimoniales à confisquer ne sont plus disponibles, le juge ordonne leur remplacement par une créance compensatrice de l'État d'un montant équivalent (al. 1). Le juge peut renoncer totalement ou partiellement à la créance compensatrice s'il est à prévoir qu'elle ne serait pas recouvrable ou qu'elle entraverait sérieusement la réinsertion de la personne concernée (al. 2).</w:t>
      </w:r>
    </w:p>
    <w:p>
      <w:r>
        <w:rPr>
          <w:b/>
        </w:rPr>
        <w:t>E. 2.1.3</w:t>
      </w:r>
    </w:p>
    <w:p>
      <w:r>
        <w:t>L' art. 73 al. 1 let . c CP dispose que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les créances compensatrices.</w:t>
      </w:r>
    </w:p>
    <w:p>
      <w:r>
        <w:rPr>
          <w:b/>
        </w:rPr>
        <w:t>E. 2.2.1</w:t>
      </w:r>
    </w:p>
    <w:p>
      <w:r>
        <w:t>Contrairement à ce qui prévaut sur le plan civil ( art. 50 al. 1 CO ), la solidarité entre plusieurs prévenus est exclue dans le cas d'une condamnation au paiement d'une créance compensatrice faute de disposition légale en ce sens ( ATF 140 IV 57 consid. 4.3; 119 IV 17 consid. 2b; HIRSIG-VOUILLOZ, in Commentaire Romand, Droit pénal, 2</w:t>
      </w:r>
    </w:p>
    <w:p>
      <w:r>
        <w:t>e éd. 2021, no 18</w:t>
      </w:r>
    </w:p>
    <w:p>
      <w:r>
        <w:t>ad</w:t>
      </w:r>
    </w:p>
    <w:p>
      <w:r>
        <w:t>art. 71 CP ; NICOLET/MOREILLON, La créance compensatrice, RPS 135/2017, p. 416, 427). La créance compensatrice doit être prononcée à l'encontre de chaque participant en fonction de la part qu'il a reçue. Si les parts ne peuvent être déterminées, le montant doit être divisé par tête ( ATF 119 IV 17 consid. 2b).</w:t>
      </w:r>
    </w:p>
    <w:p>
      <w:r>
        <w:rPr>
          <w:b/>
        </w:rPr>
        <w:t>E. 2.2.2</w:t>
      </w:r>
    </w:p>
    <w:p>
      <w:r>
        <w:t>Sur le principe, il est admissible d'allouer au lésé ses conclusions civiles en réparation du dommage subi et de prononcer simultanément une créance compensatrice lorsque le prévenu ne s'est pas encore acquitté des dommages-intérêts dus. Il y a cependant lieu de prévoir un dispositif tendant à éviter que le prévenu ne doive s'acquitter aussi bien de la créance compensatrice que de celle en dommages-intérêts ( ATF 117 IV 107 consid. 2a; arrêts 6B_1322/2019 du 8 janvier 2020 consid. 3.3; 6B_326/2011 du 14 février 2012 consid. 2.3.2).</w:t>
      </w:r>
    </w:p>
    <w:p>
      <w:r>
        <w:rPr>
          <w:b/>
        </w:rPr>
        <w:t>E. 2.3</w:t>
      </w:r>
    </w:p>
    <w:p>
      <w:r>
        <w:t>La cour cantonale a statué sur les prétentions civiles de C.________ SA. Elle a ainsi condamné le recourant et le dénommé B.________, conjointement et solidairement, à payer à cette société le montant de 25'349'124 fr. 25 (cf. chiffre XI du dispositif du jugement attaqué). Elle a simultanément prononcé à l'encontre des prénommés une créance compensatrice d'un montant de 25'349'124 fr. 25, correspondant au montant net du butin du braquage et à celui des conclusions civiles (chiffre XIII du dispositif du jugement attaqué), créance compensatrice qu'elle a allouée à C.________ SA (chiffre XIV du dispositif du jugement attaqué).</w:t>
      </w:r>
    </w:p>
    <w:p>
      <w:r>
        <w:t>La mise à la charge, solidairement, de la totalité du dommage à la charge du recourant sur un plan civil ne prête pas flanc à la critique, ce que le recourant ne soutient du reste pas. En revanche, en statuant sur la créance compensatrice que la cour cantonale a mise à la charge du recourant et de B.________ pour l'entier du dommage, celle-ci a appliqué à tort la solidarité (cf.</w:t>
      </w:r>
    </w:p>
    <w:p>
      <w:r>
        <w:t>supra consid. 2.2), alors qu'elle aurait dû répartir cette créance entre les protagonistes en incluant le fait que plusieurs individus - jugés en partie dans des procédures parallèles, parfois à l'étranger - ont également participé aux infractions commises au préjudice de C.________ SA et que ceux-ci ont eu ou auraient eu droit à une part du butin. Sur ce point le recours doit être admis. La cour cantonale aurait aussi dû prévoir un mécanisme tendant à éviter que le recourant doive s'acquitter aussi bien de la créance compensatrice, que de celle en dommages-intérêts en faveur de C.________ SA, par exemple en prévoyant que tout montant qui sera payé par le recourant à C.________ SA conformément au chiffre III/XI du dispositif du jugement attaqué réduira d'autant la somme qui pourra être exigée par celle-ci en paiement de la créance compensatrice.</w:t>
      </w:r>
    </w:p>
    <w:p>
      <w:r>
        <w:rPr>
          <w:b/>
        </w:rPr>
        <w:t>E. 3</w:t>
      </w:r>
    </w:p>
    <w:p>
      <w:r>
        <w:t>Le recours doit être partiellement admis (cf.</w:t>
      </w:r>
    </w:p>
    <w:p>
      <w:r>
        <w:t>supra consid. 2.3). Pour le surplus, il doit être rejeté dans la mesure où il est recevable. Le recourant, qui succombe partiellement, supporte une partie des frais judiciaires ( art. 66 al. 1 LTF ). Il peut prétendre à des dépens réduits, à la charge du canton de Vaud ( art. 68 al. 1 LTF ). Sa demande d'assistance judiciaire est sans objet dans cette mesure, elle doit être rejetée pour le reste, dès lors que le recours était dénué de chances de succès s'agissant des aspects sur lesquels il a succombé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