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1166/2018 vom 21. Dezember 2018</w:t>
      </w:r>
    </w:p>
    <w:p>
      <w:r>
        <w:t>Bundesgericht, 2018-12-21, FR</w:t>
      </w:r>
    </w:p>
    <w:p>
      <w:r>
        <w:rPr>
          <w:b/>
        </w:rPr>
        <w:t xml:space="preserve">Quelle: </w:t>
      </w:r>
      <w:r>
        <w:t>https://mcp.opencaselaw.ch/entscheid/bger_6B_1166_2018</w:t>
      </w:r>
    </w:p>
    <w:p>
      <w:r>
        <w:t>FR: TF 6B 1166/2018 du 21 décembre 2018</w:t>
      </w:r>
    </w:p>
    <w:p>
      <w:r>
        <w:t>IT: TF 6B 1166/2018 del 21 dicembre 2018</w:t>
      </w:r>
    </w:p>
    <w:p>
      <w:pPr>
        <w:pStyle w:val="Heading2"/>
      </w:pPr>
      <w:r>
        <w:t>Regeste</w:t>
      </w:r>
    </w:p>
    <w:p>
      <w:r>
        <w:t>Irrecevabilité formelle du recours | Procédure pénale</w:t>
      </w:r>
    </w:p>
    <w:p>
      <w:pPr>
        <w:pStyle w:val="Heading2"/>
      </w:pPr>
      <w:r>
        <w:t>Erwägungen</w:t>
      </w:r>
    </w:p>
    <w:p>
      <w:r>
        <w:rPr>
          <w:b/>
        </w:rPr>
        <w:t>E. 1</w:t>
      </w:r>
    </w:p>
    <w:p>
      <w:r>
        <w:t>Par jugement du 3 juillet 2018, le Tribunal de police de l'arrondissement de l'Est vaudois a condamné A.________, pour lésions corporelles simples qualifiées, voies de fait qualifiées, injures, menaces qualifiées, contrainte et violation simple des règles de la circulation routière, à une peine pécuniaire de 120 jours-amende à 30 fr. le jour, avec sursis durant quatre ans, ainsi qu'à une amende de 1'000 francs. Par jugement du 1er novembre 2018, la Cour d'appel pénale du Tribunal cantonal du canton de Vaud a notamment rejeté l'appel formé par le prénommé contre ce jugement et a confirmé celui-ci. A.________ forme un recours en matière pénale au Tribunal fédéral contre le jugement du 1er novembre 2018.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critique le jugement attaqué sans toutefois formuler une quelconque conclusion de fond. Il ne consacre par ailleurs aucune motivation à la décision de la cour cantonale, mais se borne à se plaindre de l'attitude de l'un des magistrats durant les débats d'appel. Pour le reste, le recourant réclame la tenue d'une audience - sans aucunement préciser en quoi celle-ci serait nécessaire - et se réfère, de manière inadmissible, aux écritures adressées à l'autorité précédente. 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