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1166/2017 vom 17. Oktober 2017</w:t>
      </w:r>
    </w:p>
    <w:p>
      <w:r>
        <w:t>Bundesgericht, 2017-10-17, DE</w:t>
      </w:r>
    </w:p>
    <w:p>
      <w:r>
        <w:rPr>
          <w:b/>
        </w:rPr>
        <w:t xml:space="preserve">Quelle: </w:t>
      </w:r>
      <w:r>
        <w:t>https://mcp.opencaselaw.ch/entscheid/bger_6B_1166_2017</w:t>
      </w:r>
    </w:p>
    <w:p>
      <w:r>
        <w:t>FR: TF 6B 1166/2017 du 17 octobre 2017</w:t>
      </w:r>
    </w:p>
    <w:p>
      <w:r>
        <w:t>IT: TF 6B 1166/2017 del 17 ottobre 2017</w:t>
      </w:r>
    </w:p>
    <w:p>
      <w:pPr>
        <w:pStyle w:val="Heading2"/>
      </w:pPr>
      <w:r>
        <w:t>Regeste</w:t>
      </w:r>
    </w:p>
    <w:p>
      <w:r>
        <w:t>Nichtanhandnahme (Widerhandlung gegen das SVG, Irreführung der Rechtspflege, Urkundenfälschung usw.), | Strafprozess</w:t>
      </w:r>
    </w:p>
    <w:p>
      <w:pPr>
        <w:pStyle w:val="Heading2"/>
      </w:pPr>
      <w:r>
        <w:t>Erwägungen</w:t>
      </w:r>
    </w:p>
    <w:p>
      <w:r>
        <w:rPr>
          <w:b/>
        </w:rPr>
        <w:t>E. 1</w:t>
      </w:r>
    </w:p>
    <w:p>
      <w:r>
        <w:t>Die Regionale Staatsanwaltschaft Berner Jura-Seeland nahm am 10. Juli 2017 das Strafverfahren gegen X.________ nicht an die Hand. Die vom Beschwerdeführer dagegen erhobene Beschwerde wies das Obergericht des Kantons Bern am 30. August 2017 ab, soweit es darauf eintrat. Der Beschwerdeführer gelangt gegen den Entscheid vom 30. August 2017 mit Beschwerde an das Bundesgericht.</w:t>
      </w:r>
    </w:p>
    <w:p>
      <w:r>
        <w:rPr>
          <w:b/>
        </w:rPr>
        <w:t>E. 2</w:t>
      </w:r>
    </w:p>
    <w:p>
      <w:r>
        <w:t>Anfechtungsgegenstand bildet einzig der angefochtene Entscheid (vgl. Art. 80 Abs. 1 BGG ). Nicht zu hören ist der Beschwerdeführer daher, soweit er in seiner Beschwerde strafrechtliche Anschuldigungen gegen andere Personen als X.________ erhebt.</w:t>
      </w:r>
    </w:p>
    <w:p>
      <w:r>
        <w:rPr>
          <w:b/>
        </w:rPr>
        <w:t>E. 3</w:t>
      </w:r>
    </w:p>
    <w:p>
      <w:r>
        <w:t>Die Vorinstanz trat auf die Beschwerde des Beschwerdeführers gegen die Nichtanhandnahme des Strafverfahrens gegen X.________ wegen Widerhandlung gegen das SVG (Fahrens ohne Bewilligung), Irreführung der Rechtspflege, Urkundenfälschung und "Prozessbetrugs" mangels Beschwerdelegitimation nicht ein. Der Beschwerdeführer setzt sich damit nicht rechtsgenügend auseinander und zeigt nicht auf, inwiefern der angefochtene Entscheid insofern gegen Bundesrecht im Sinne von Art. 95 BGG verstossen könnte (insbesondere Art. 310 Abs. 2 i.V.m. Art. 322 Abs. 2 StPO sowie Art. 104 Abs. 1 lit. b, Art. 115 Abs. 1 und Art. 118 Abs. 1 StPO ). Dass die B.________ GmbH, für welche der Beschwerdeführer gemäss eigenen Angaben als Prokurist tätig ist, im Jahre 2006 in einen von X.________ verursachten Verkehrsunfall mit Sachschaden involviert war, genügt für die Bejahung der Beschwerdelegitimation des Beschwerdeführers bezüglich des behaupteten Fahrens ohne gültigen Fahrausweis und der angeblichen Fälschung von ärztlichen Zeugnissen im Zusammenhang mit der Überprüfung der Fahrtauglichkeit nicht.</w:t>
      </w:r>
    </w:p>
    <w:p>
      <w:r>
        <w:rPr>
          <w:b/>
        </w:rPr>
        <w:t>E. 4</w:t>
      </w:r>
    </w:p>
    <w:p>
      <w:r>
        <w:t>Der Beschwerdeführer äussert sich ausführlich dazu, weshalb der von ihm bzw. der B.________ GmbH nach dem Verkehrsunfall im Jahre 2006 erlittene Schaden viel höher ausgefallen sein soll als die von der Haftpflichtversicherung geleisteten Zahlungen. Inwiefern darin ein strafrechtlich relevantes Verhalten von X.________ erblickt werden könnte, ist jedoch weder dargetan noch ersichtlich. Auf die Beschwerde kann auch insofern nicht eingetreten werden.</w:t>
      </w:r>
    </w:p>
    <w:p>
      <w:r>
        <w:rPr>
          <w:b/>
        </w:rPr>
        <w:t>E. 5</w:t>
      </w:r>
    </w:p>
    <w:p>
      <w:r>
        <w:t>Auf die Beschwerde ist mangels einer tauglichen Begründung im Verfahren nach Art. 108 BGG nicht einzutreten. Die Gerichtskosten sind dem Beschwerdeführer aufzuerlegen ( Art. 66 Abs. 1 BGG ). Das sinngemässe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