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1166/2015 vom 27. Juni 2016</w:t>
      </w:r>
    </w:p>
    <w:p>
      <w:r>
        <w:t>Bundesgericht, 2016-06-27, FR</w:t>
      </w:r>
    </w:p>
    <w:p>
      <w:r>
        <w:rPr>
          <w:b/>
        </w:rPr>
        <w:t xml:space="preserve">Quelle: </w:t>
      </w:r>
      <w:r>
        <w:t>https://mcp.opencaselaw.ch/entscheid/bger_6B_1166_2015</w:t>
      </w:r>
    </w:p>
    <w:p>
      <w:r>
        <w:t>FR: TF 6B 1166/2015 du 27 juin 2016</w:t>
      </w:r>
    </w:p>
    <w:p>
      <w:r>
        <w:t>IT: TF 6B 1166/2015 del 27 giugno 2016</w:t>
      </w:r>
    </w:p>
    <w:p>
      <w:pPr>
        <w:pStyle w:val="Heading2"/>
      </w:pPr>
      <w:r>
        <w:t>Regeste</w:t>
      </w:r>
    </w:p>
    <w:p>
      <w:r>
        <w:t>Séquestration, enlèvement ; arbitraire, droit d'être entendu | Infractions</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si la décision attaquée peut avoir des effets sur le jugement de ses prétentions civiles (art. 81 al. 1 let. b ch. 5 LTF).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 6B_1238/2014 du 4 novembre 2015). La partie plaignante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la recourante se contente d'affirmer qu'elle dispose d'un intérêt juridique à la modification ou à l'annulation de la décision entreprise dans la mesure où celle-ci peut avoir des effets sur le jugement de ses prétentions civiles selon l'art. 81 al. 1 let. b ch. 5 LTF. Elle ne soutient cependant pas avoir articulé de prétentions civiles en première instance, alors qu'elle aurait pu le faire puisque la procédure pénale a été menée jusqu'au stade du jugement. A teneur du jugement du Tribunal de police, il apparaît que la recourante a uniquement requis l'allocation d'une indemnité pour ses frais d'avocat conformément à l' art. 433 CPP . Les frais d'avocat ne constituent cependant pas des prétentions civiles au sens de l'art. 81 al. 1 let. b ch. 5 LTF (cf. arrêt 6B_768/2013 du 12 novembre 2013 consid. 1.3). Dans la mesure où elle n'a pas élevé de prétentions civiles, la recourante ne réalise pas les conditions de l'art. 81 al. 1 let. b ch. 5 LTF. Faute de qualité pour recourir sur le fond de la cause, elle ne peut pas contester, comme elle le fait, l'établissement des faits ou l'appréciation des preuves (cf. 6B_839/2011 du 21 février 2012 consid. 1.2). Invoquant une mauvaise application de l' art. 218 CPP , la recourante reproche par ailleurs à la cour cantonale d'avoir exclu la commission de l'infraction de séquestration par les intimés au motif, erroné selon elle, que ces derniers étaient en droit de provisoirement l'arrêter en vertu de l' art. 218 CPP . Un tel grief, rattaché au fond de l'affaire, est également irrecevable faute de qualité pour agir sous l'angle de l'art. 81 al. 1 let. b ch. 5 LTF.</w:t>
      </w:r>
    </w:p>
    <w:p>
      <w:r>
        <w:rPr>
          <w:b/>
        </w:rPr>
        <w:t>E. 1.2</w:t>
      </w:r>
    </w:p>
    <w:p>
      <w:r>
        <w:t>L'hypothèse visée à l'art. 81 al. 1 let. b ch. 6 LTF n'entre pas en considération, la recourante ne soulevant aucun grief recevable quant à son droit de porter plainte (cf. art. 42 al. 2 et 106 al. 2 LTF).</w:t>
      </w:r>
    </w:p>
    <w:p>
      <w:r>
        <w:rPr>
          <w:b/>
        </w:rPr>
        <w:t>E. 1.3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En l'occurrence, sous couvert d'une violation de son droit d'être entendue, la recourante fait grief à la cour cantonale de ne pas avoir pris en compte un élément de fait qui aurait dû la conduire à condamner les intimés pour l'infraction de séquestration. Dans la mesure où la recourante entend ainsi établir le fondement de ses accusations, ce grief ne peut être séparé du fond et ne saurait, partant, fonder sa qualité pour recourir sous l'angle de la violation de ses droits procéduraux. La recourante n'invoque aucune violation de ses droits de partie pour le surplus.</w:t>
      </w:r>
    </w:p>
    <w:p>
      <w:r>
        <w:rPr>
          <w:b/>
        </w:rPr>
        <w:t>E. 2</w:t>
      </w:r>
    </w:p>
    <w:p>
      <w:r>
        <w:t>Sur le vu de ce qui précède, 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