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1164/2013 vom 14. April 2014</w:t>
      </w:r>
    </w:p>
    <w:p>
      <w:r>
        <w:t>Bundesgericht, 2014-04-14, DE</w:t>
      </w:r>
    </w:p>
    <w:p>
      <w:r>
        <w:rPr>
          <w:b/>
        </w:rPr>
        <w:t xml:space="preserve">Quelle: </w:t>
      </w:r>
      <w:r>
        <w:t>https://mcp.opencaselaw.ch/entscheid/bger_6B_1164_2013</w:t>
      </w:r>
    </w:p>
    <w:p>
      <w:r>
        <w:t>FR: TF 6B 1164/2013 du 14 avril 2014</w:t>
      </w:r>
    </w:p>
    <w:p>
      <w:r>
        <w:t>IT: TF 6B 1164/2013 del 14 aprile 2014</w:t>
      </w:r>
    </w:p>
    <w:p>
      <w:pPr>
        <w:pStyle w:val="Heading2"/>
      </w:pPr>
      <w:r>
        <w:t>Regeste</w:t>
      </w:r>
    </w:p>
    <w:p>
      <w:r>
        <w:t>Verweigerung der bedingten Entlassung | Straf- und Massnahmenvollzug</w:t>
      </w:r>
    </w:p>
    <w:p>
      <w:pPr>
        <w:pStyle w:val="Heading2"/>
      </w:pPr>
      <w:r>
        <w:t>Erwägungen</w:t>
      </w:r>
    </w:p>
    <w:p>
      <w:r>
        <w:rPr>
          <w:b/>
        </w:rPr>
        <w:t>E. 1.1</w:t>
      </w:r>
    </w:p>
    <w:p>
      <w:r>
        <w:t>Der Beschwerdeführer rügt, die Vorinstanz beurteile seine Bewährungsaussicht willkürlich und in Verletzung von Art. 86 StGB . Sie berücksichtige den Bericht der JVA Lenzburg vom 16. April 2013 bei der Beurteilung seines Vollzugsverhaltens nicht und lasse auch seine Persönlichkeit nicht in die Gesamtwürdigung einfliessen. Die ungünstige Legalprognose begründe sie massgeblich mit seiner angeblich fehlenden Einsicht in das begangene Unrecht, welche er bei Vollverbüssung der Strafe möglicherweise noch entwickeln würde. Diese Argumentation sei unzulässig. Die nach der Entlassung zu erwartenden Lebensverhältnisse bewerte die Vorinstanz zu Unrecht als negativ. Dass die von ihm ausgehende Rückfallgefahr für schwere Straftaten als "gering bis maximal mässig" eingestuft werde, sei positiv zu beurteilen, da Sexualstraftätern in der Regel nicht attestiert werde, nicht mehr rückfällig zu werden. Insgesamt seien keine Gründe für eine Verweigerung der bedingten Entlassung ersichtlich. Das vorinstanzliche Urteil sei stossend und beschneide sein Recht auf persönliche Freiheit ( Art. 10 BV ) in unzulässiger Weise.</w:t>
      </w:r>
    </w:p>
    <w:p>
      <w:r>
        <w:rPr>
          <w:b/>
        </w:rPr>
        <w:t>E. 1.2.1</w:t>
      </w:r>
    </w:p>
    <w:p>
      <w:r>
        <w:t>Die Sachverhaltsfeststellung der Vorinstanz kann im Verfahren vor dem Bundesgericht nur gerügt werden, wenn sie willkürlich ( Art. 9 BV ) ist oder auf einer Rechtsverletzung im Sinne von Art. 95 BGG beruht und wenn die Behebung des Mangels für den Ausgang des Verfahrens entscheidend sein kann ( Art. 97 Abs. 1 BGG ; BGE 134 IV 36 E. 1.4.1). Die Rüge der Willkür muss in der Beschwerde anhand des angefochtenen Entscheids präzise vorgebracht und begründet werden, ansonsten darauf nicht eingetreten wird ( Art. 106 Abs. 2 BGG ; BGE 134 II 244 E. 2.2).</w:t>
      </w:r>
    </w:p>
    <w:p>
      <w:r>
        <w:rPr>
          <w:b/>
        </w:rPr>
        <w:t>E. 1.2.2</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 BGE 133 IV 201 E. 2.3;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124 IV 193 E. 3).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119 IV 5 E. 2).</w:t>
      </w:r>
    </w:p>
    <w:p>
      <w:r>
        <w:rPr>
          <w:b/>
        </w:rPr>
        <w:t>E. 1.3</w:t>
      </w:r>
    </w:p>
    <w:p>
      <w:r>
        <w:t>Nicht einzutreten ist auf die Beschwerde, soweit der Beschwerdeführer im Rahmen seiner Vorbringen auf die Beweislage zurückkommt, die der rechtskräftigen Beurteilung seiner Straftaten zugrunde liegt, die damalige tatsächliche und rechtliche Würdigung des Sachgerichts in Zweifel zieht und auf die Möglichkeit eines Fehlurteils hinweist. Er geht damit über den Streitgegenstand hinaus.</w:t>
      </w:r>
    </w:p>
    <w:p>
      <w:r>
        <w:rPr>
          <w:b/>
        </w:rPr>
        <w:t>E. 1.4</w:t>
      </w:r>
    </w:p>
    <w:p>
      <w:r>
        <w:t>Die zeitliche Voraussetzung für eine bedingte Entlassung nach Art. 86 Abs. 1 StGB ist erfüllt. Der Beschwerdeführer hat zwei Drittel seiner Strafe verbüsst. Zu prüfen ist, ob die Vorinstanz den Sachverhalt willkürlich festgestellt und bei der Beurteilung der Legalprognose ihr Ermessen verletzt hat.</w:t>
      </w:r>
    </w:p>
    <w:p>
      <w:r>
        <w:rPr>
          <w:b/>
        </w:rPr>
        <w:t>E. 1.5</w:t>
      </w:r>
    </w:p>
    <w:p>
      <w:r>
        <w:t>Die Vorinstanz hält dem Beschwerdeführer das positive Vollzugsverhalten zugute. Sie stützt sich auf die inhaltlich gleichlautenden Berichte der JVA Lenzburg vom 28. März 2013 und 16. April 2013 (Entscheid, S. 8) und zieht damit sämtliche Berichte in ihre Beurteilung mit ein. Von Willkür kann keine Rede sein. Nicht ersichtlich ist, inwiefern die wöchentlichen Gefängnisbesuche der Ehefrau Aufschluss über die Fähigkeit des Beschwerdeführers geben könnten, anspruchsvolle Lebenssituationen in Freiheit zu meistern. Die Vorinstanz hatte vor diesem Hintergrund keinen Anlass, das Vollzugsverhalten stärker zu dessen Gunsten zu würdigen.</w:t>
      </w:r>
    </w:p>
    <w:p>
      <w:r>
        <w:rPr>
          <w:b/>
        </w:rPr>
        <w:t>E. 1.6</w:t>
      </w:r>
    </w:p>
    <w:p>
      <w:r>
        <w:t>Das Vorleben des Beschwerdeführers bewertet die Vorinstanz im Rahmen der Prognose als leicht negativ. Sie weist darauf hin, dass er in der Vergangenheit bereits mehrfach straffällig wurde. Soweit sie von "zunehmender Delinquenz" spricht (Entscheid, S. 7), kann ihr keine Willkür vorgeworfen werden. Sie bezieht sich nur auf die einschlägigen Delikte (einfache Körperverletzung, mehrfache Vergewaltigung, mehrfache versuchte sexuelle Nötigung) und stellt im Vergleich zu den früheren Verurteilungen eine Zunahme der Deliktschwere fest. Das ist nicht zu beanstanden.</w:t>
      </w:r>
    </w:p>
    <w:p>
      <w:r>
        <w:rPr>
          <w:b/>
        </w:rPr>
        <w:t>E. 1.7</w:t>
      </w:r>
    </w:p>
    <w:p>
      <w:r>
        <w:t>Die Vorinstanz stuft die Persönlichkeit des Beschwerdeführers und seine unveränderte Einstellung zu seinen Taten prognostisch als deutlich negativ ein. Sie stellt bei ihrer Würdigung auf den Bericht des Anstaltspsychiaters der Psychiatrischen Dienste des Kantons Aargau vom 12. November 2012 ab (Entscheid, S. 9). Dagegen ist nichts einzuwenden. Dass kein gerichtlicher Behandlungsauftrag bestand, ist nicht relevant. Nach den Feststellungen der Vorinstanz bestreitet und verharmlost der Beschwerdeführer die Straftaten nach wie vor. Eine Tataufarbeitung habe nicht stattgefunden. Seine Gewaltbereitschaft und sein Verhalten gegenüber Frauen bedürfe einer dringenden Korrektur, die bislang nicht habe erreicht werden können (Entscheid, S. 9 f.). Diese Beurteilung ist nicht zu beanstanden. Ohne Einsicht sind ein Problembewusstsein und eine Verhaltensänderung nicht zu erwarten. Die Einsichtslosigkeit indiziert in dieser Konstellation eine gefährliche Grundhaltung (Urteil 6B_961/2009 vom 19. Januar 2010 E. 2.2.2). Anhaltspunkte, dass der Beschwerdeführer sein Verhalten gegenüber Frauen hinterfragt und bei ihm ein Umdenken eingesetzt hätte, bestehen nicht. Sein Einwand, es gehe von ihm lediglich eine geringe bis maximal mässige Rückfallgefahr aus (Beschwerde, S. 14), geht an der Sache vorbei. Massgebend ist, dass gemäss den Ausführungen der Vorinstanz aufgrund der unveränderten Einstellung des Beschwerdeführers zu seinen Taten neue - insbesondere gegen die sexuelle Integrität gerichtete - Rechtsbrüche zu befürchten sind (Entscheid, S. 9). Seine Beteuerungen, er habe die "Erlebnisse" zusammen mit seiner Ehefrau aufgearbeitet und sei auf ein Leben in Freiheit vorbereitet, stellen unbelegte Behauptungen dar.</w:t>
      </w:r>
    </w:p>
    <w:p>
      <w:r>
        <w:rPr>
          <w:b/>
        </w:rPr>
        <w:t>E. 1.8</w:t>
      </w:r>
    </w:p>
    <w:p>
      <w:r>
        <w:t>Die Vorinstanz erachtet die in der Schweiz zu erwartenden Lebensverhältnisse als unsicher. Sie liessen nicht auf eine günstige Prognose schliessen. Der Beschwerdeführer wolle nach seiner Entlassung bei seiner Ehefrau wohnen und eine Arbeit suchen. Vor der Inhaftierung habe er temporär bei verschiedenen Firmen gearbeitet. Auch die zum Tatzeitpunkt bereits bestehende Ehe habe keinen erkennbar positiven Einfluss auf sein Legalverhalten gehabt (Entscheid, S. 11). Die Vorinstanz stellt damit nicht fest, die Ehefrau habe einen schlechten Einfluss auf den Beschwerdeführer gehabt und ihn womöglich zu den Taten verleitet. Sie geht vielmehr davon aus, dass sich der Beschwerdeführer trotz langjähriger Ehe nicht von der Begehung von Straftaten zum Nachteil von seiner Ehefrau und Dritten abhalten liess. Diese Beurteilung ist weder willkürlich noch verletzt sie Bundesrecht.</w:t>
      </w:r>
    </w:p>
    <w:p>
      <w:r>
        <w:rPr>
          <w:b/>
        </w:rPr>
        <w:t>E. 1.9</w:t>
      </w:r>
    </w:p>
    <w:p>
      <w:r>
        <w:t>Im Sinne einer Differenzialprognose stellt die Vorinstanz die Vorzüge und Nachteile der Voll- bzw. Weiterverbüssung der Strafe denjenigen einer Aussetzung eines Strafrestes gegenüber ( BGE 124 IV 193 E. 4a und 5b/bb). Sie gelangt zum Schluss, dass die Fortführung des Strafvollzugs die Möglichkeit biete, die Rückfallgefahr zu mindern. Gelinge dies nicht, so resultierten zwei eindeutig negative Prognosen, weshalb eine bedingte Entlassung nicht in Frage komme (Entscheid, S. 12). An dieser differenzialprognostischen Abwägung gibt es nichts auszusetzen. Die Kritik dagegen ist unbehelflich. Entscheidend ist jedoch, dass dem Beschwerdeführer nach den nicht zu beanstandenden Ausführungen der Vorinstanz gegenwärtig eine ungünstige Prognose gestellt werden muss. Gefährdet sind hochwertige Rechtsgüter (insbesondere die sexuelle Integrität). Es ist deshalb nicht zu beanstanden, wenn die Vorinstanz den Beschwerdeführer nicht bedingt entlässt.</w:t>
      </w:r>
    </w:p>
    <w:p>
      <w:r>
        <w:rPr>
          <w:b/>
        </w:rPr>
        <w:t>E. 1.10</w:t>
      </w:r>
    </w:p>
    <w:p>
      <w:r>
        <w:t>Der angefochtene Entscheid verletzt kein Bundesrecht. Die Vorinstanz würdigt alle für die Frage der bedingten Entlassung wesentlichen Gesichtspunkte, ohne den ihr zustehenden Ermessensspielraum zu überschreiten, zu unterschreiten oder zu missbrauchen. Unter diesen Umständen ist nicht ersichtlich und legt der Beschwerdeführer auch nicht hinreichend dar, dass und inwiefern der angefochtene Entscheid einen unzulässigen Eingriff in die persönliche Freiheit des Beschwerdeführers gemäss Art. 10 Abs. 1 BV darstellen könnte.</w:t>
      </w:r>
    </w:p>
    <w:p>
      <w:r>
        <w:rPr>
          <w:b/>
        </w:rPr>
        <w:t>E. 2</w:t>
      </w:r>
    </w:p>
    <w:p>
      <w:r>
        <w:t>Die Beschwerde ist abzuweisen, soweit darauf eingetreten werden kann. Das Gesuch um unentgeltliche Rechtspflege und Verbeiständung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