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1163/2019 vom 21. Oktober 2019</w:t>
      </w:r>
    </w:p>
    <w:p>
      <w:r>
        <w:t>Bundesgericht, 2019-10-21, DE</w:t>
      </w:r>
    </w:p>
    <w:p>
      <w:r>
        <w:rPr>
          <w:b/>
        </w:rPr>
        <w:t xml:space="preserve">Quelle: </w:t>
      </w:r>
      <w:r>
        <w:t>https://mcp.opencaselaw.ch/entscheid/bger_6B_1163_2019</w:t>
      </w:r>
    </w:p>
    <w:p>
      <w:r>
        <w:t>FR: TF 6B 1163/2019 du 21 octobre 2019</w:t>
      </w:r>
    </w:p>
    <w:p>
      <w:r>
        <w:t>IT: TF 6B 1163/2019 del 21 ottobre 2019</w:t>
      </w:r>
    </w:p>
    <w:p>
      <w:pPr>
        <w:pStyle w:val="Heading2"/>
      </w:pPr>
      <w:r>
        <w:t>Regeste</w:t>
      </w:r>
    </w:p>
    <w:p>
      <w:r>
        <w:t>Nichtanhandnahme (Störung der Glaubens- und Kulturfreiheit); Nichteintreten | Strafprozess</w:t>
      </w:r>
    </w:p>
    <w:p>
      <w:pPr>
        <w:pStyle w:val="Heading2"/>
      </w:pPr>
      <w:r>
        <w:t>Erwägungen</w:t>
      </w:r>
    </w:p>
    <w:p>
      <w:r>
        <w:rPr>
          <w:b/>
        </w:rPr>
        <w:t>E. 1</w:t>
      </w:r>
    </w:p>
    <w:p>
      <w:r>
        <w:t>Das Obergericht des Kantons Zürich trat am 16. September 2019 auf eine Beschwerde nicht ein, weil die Beschwerdeführerin die verlangte Sicherheit nicht geleistet hatte. Die Beschwerdeführerin wendet sich ans Bundesgericht. Indessen äussert sie sich zur Frage der versäumten Sicherheitsleistung nicht. Folglich genügt ihre Eingabe den Anforderungen von Art. 42 Abs. 2 BGG nicht. Auf die Beschwerde ist mangels einer tauglichen Begründung im Verfahren nach Art. 108 BGG nicht einzutreten.</w:t>
      </w:r>
    </w:p>
    <w:p>
      <w:r>
        <w:rPr>
          <w:b/>
        </w:rPr>
        <w:t>E. 2</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