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1163/2013 vom 7. April 2014</w:t>
      </w:r>
    </w:p>
    <w:p>
      <w:r>
        <w:t>Bundesgericht, 2014-04-07, FR</w:t>
      </w:r>
    </w:p>
    <w:p>
      <w:r>
        <w:rPr>
          <w:b/>
        </w:rPr>
        <w:t xml:space="preserve">Quelle: </w:t>
      </w:r>
      <w:r>
        <w:t>https://mcp.opencaselaw.ch/entscheid/bger_6B_1163_2013</w:t>
      </w:r>
    </w:p>
    <w:p>
      <w:r>
        <w:t>FR: TF 6B 1163/2013 du 7 avril 2014</w:t>
      </w:r>
    </w:p>
    <w:p>
      <w:r>
        <w:t>IT: TF 6B 1163/2013 del 7 aprile 2014</w:t>
      </w:r>
    </w:p>
    <w:p>
      <w:pPr>
        <w:pStyle w:val="Heading2"/>
      </w:pPr>
      <w:r>
        <w:t>Regeste</w:t>
      </w:r>
    </w:p>
    <w:p>
      <w:r>
        <w:t>Ordonnance de non-entrée en matière (demande de révision) | Procédure pénale</w:t>
      </w:r>
    </w:p>
    <w:p>
      <w:pPr>
        <w:pStyle w:val="Heading2"/>
      </w:pPr>
      <w:r>
        <w:t>Erwägungen</w:t>
      </w:r>
    </w:p>
    <w:p>
      <w:r>
        <w:rPr>
          <w:b/>
        </w:rPr>
        <w:t>E. 1</w:t>
      </w:r>
    </w:p>
    <w:p>
      <w:r>
        <w:t>Le recourant invoque une violation de l' art. 410 CPP par la cour cantonale pour avoir considéré dans les circonstances d'espèce que sa demande de révision était abusive. Elle aurait dû examiner le moyen tiré du retrait de plainte de la caisse intervenu le lendemain du prononcé de l'ordonnance pénale.</w:t>
      </w:r>
    </w:p>
    <w:p>
      <w:r>
        <w:rPr>
          <w:b/>
        </w:rPr>
        <w:t>E. 1.1</w:t>
      </w:r>
    </w:p>
    <w:p>
      <w:r>
        <w:t>L' 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 ATF 137 IV 59 consid. 5.1.2 p. 66 s.). Ils sont sérieux lorsqu'ils sont propres à ébranler les constatations de fait sur lesquelles se fonde la condamnation et que l'état de fait ainsi modifié rend possible un jugement sensiblement plus favorable au condamné ( ATF 137 IV 59 consid. 5.1.4 p. 68). La demande en révision en raison de faits ou de moyens de preuve nouveaux n'est soumise à aucun délai (art. 411 al. 2 in fine CPP).</w:t>
      </w:r>
    </w:p>
    <w:p>
      <w:r>
        <w:rPr>
          <w:b/>
        </w:rPr>
        <w:t>E. 1.2</w:t>
      </w:r>
    </w:p>
    <w:p>
      <w:r>
        <w:t>La procédure du rescindant instituée par le CPP se déroule, en principe, en deux phases comprenant un examen préalable de la recevabilité ( art. 412 al. 1 et 2 CPP ) puis celui des motifs invoqués (art. 412 al. 3 et 4 et art. 413 CPP ). Il s'agit de deux étapes d'une seule et même procédure de la compétence de la juridiction d'appel ( art. 412 al. 1 et 3 CPP ). Aux termes de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 6B_415/2012 du 14 décembre 2012 consid. 1.1). La juridiction d'appel a refusé d'entrer en matière sans examen du moyen invoqué, en application de l' art. 412 al. 2 CPP au motif que la demande était manifestement abusive.</w:t>
      </w:r>
    </w:p>
    <w:p>
      <w:r>
        <w:rPr>
          <w:b/>
        </w:rPr>
        <w:t>E. 1.3</w:t>
      </w:r>
    </w:p>
    <w:p>
      <w:r>
        <w:t>L'abus de droit consiste à utiliser une institution juridique à des fins étrangères au but même de la disposition légale qui la consacre, de telle sorte que l'écart entre le droit exercé et l'intérêt qu'il est censé protéger soit manifeste ( ATF 130 IV 72 consid. 2.2 p. 74; 125 IV 79 consid. 1b p. 81). 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raisons de se prévaloir à cette époque ( ATF 130 IV 72 consid. 2.3 p. 75 s., jurisprudence qui conserve son actualité sous l'empire du CPP, voir arrêt 6B_310/2011 du 20 juin 2011 consid. 1.5 et réf. citées publié in SJ 2012 I 389). Ainsi, l'abus de droit ne peut être envisagé et opposé qu'avec retenue à celui qui sollicite une révision sur la base d'un fait qu'il connaissait déjà, mais qu'il n'a pas soumis au juge de la première procédure, ( ATF 130 IV 72 consid. 2.2 p. 74).</w:t>
      </w:r>
    </w:p>
    <w:p>
      <w:r>
        <w:rPr>
          <w:b/>
        </w:rPr>
        <w:t>E. 1.4</w:t>
      </w:r>
    </w:p>
    <w:p>
      <w:r>
        <w:t>En l'espèce, il est constant que le recourant n'a appris l'existence de la poursuite pénale qu'à réception de l'ordonnance pénale le 2 mai 2013. Il n'a pas été entendu par le Ministère public. Il a immédiatement réagi en s'adressant le 3 mai à la caisse pour exposer les motifs pour lesquels la plainte n'était pas fondée et l'inviter à la retirer en l'enjoignant de faire le nécessaire pour que l'ordonnance pénale du 2 mai soit annulée. La caisse s'est exécutée le jour même en adressant au Ministère public sa lettre de retrait de plainte. A ce moment-là, l'ordonnance pénale n'était pas entrée en force de chose jugée, le délai d'opposition n'étant pas écoulé ( art. 354 al. 3 CPP ). Le recourant, qui n'était pas représenté par un avocat à l'époque, était fondé à croire que la lettre de retrait de plainte allait aboutir à l'annulation de l'ordonnance pénale. On ne pouvait pas attendre de lui qu'il comprenne que le retrait de plainte n'allait pas entraîner l'extinction de l'action pénale, comme cela aurait été le cas s'il s'était agi d'une infraction poursuivable sur plainte uniquement ( art. 33 al. 3 CP ). Au demeurant, bien que la loi ne le précise pas ( art. 120 CPP ), le lésé doit adresser à l'autorité en charge de la procédure le retrait de sa plainte ( NICOLAS JEANDIN/HENRY MATZ, in Commentaire romand, Code de procédure pénale suisse, 2011, n° 3 ad art. 120 CPP ). Aussi, on ne peut pas reprocher au recourant d'avoir cru (à tort ou à raison) que le Ministère public allait revenir sur sa décision pour tenir compte du retrait de plainte. Dans ces circonstances, le recourant pouvait considérer, sans abus de droit, qu'il n'avait pas à se prévaloir du retrait de plainte par une opposition à l'ordonnance pénale. La négligence que lui reproche l'autorité cantonale ne suffit pas à rendre abusive, et partant, irrecevable sa demande de révision.</w:t>
      </w:r>
    </w:p>
    <w:p>
      <w:r>
        <w:rPr>
          <w:b/>
        </w:rPr>
        <w:t>E. 2</w:t>
      </w:r>
    </w:p>
    <w:p>
      <w:r>
        <w:t>En définitive, le recours doit être admis, l'arrêt attaqué annulé dans la mesure où il déclare irrecevable la demande de révision du recourant et la cause renvoyée à l'autorité cantonale pour qu'elle entre en matière et se prononce sur la requête ( art. 412 al. 3 et 4 et 413 CPP ). Le recourant obtient gain de cause. Il ne supporte pas de frais (art. 65 al. 2 et 66 al. 1 LTF). Il peut prétendre à de pleins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