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115/2010 vom 12. April 2010</w:t>
      </w:r>
    </w:p>
    <w:p>
      <w:r>
        <w:t>Bundesgericht, 2010-04-12, DE</w:t>
      </w:r>
    </w:p>
    <w:p>
      <w:r>
        <w:rPr>
          <w:b/>
        </w:rPr>
        <w:t xml:space="preserve">Quelle: </w:t>
      </w:r>
      <w:r>
        <w:t>https://mcp.opencaselaw.ch/entscheid/bger_6B_115_2010</w:t>
      </w:r>
    </w:p>
    <w:p>
      <w:r>
        <w:t>FR: TF 6B 115/2010 du 12 avril 2010</w:t>
      </w:r>
    </w:p>
    <w:p>
      <w:r>
        <w:t>IT: TF 6B 115/2010 del 12 aprile 2010</w:t>
      </w:r>
    </w:p>
    <w:p>
      <w:pPr>
        <w:pStyle w:val="Heading2"/>
      </w:pPr>
      <w:r>
        <w:t>Regeste</w:t>
      </w:r>
    </w:p>
    <w:p>
      <w:r>
        <w:t>Qualifiziertes Fahren in angetrunkenem Zustand | Straftaten</w:t>
      </w:r>
    </w:p>
    <w:p>
      <w:pPr>
        <w:pStyle w:val="Heading2"/>
      </w:pPr>
      <w:r>
        <w:t>Erwägungen</w:t>
      </w:r>
    </w:p>
    <w:p>
      <w:r>
        <w:rPr>
          <w:b/>
        </w:rPr>
        <w:t>E. 1</w:t>
      </w:r>
    </w:p>
    <w:p>
      <w:r>
        <w:t>Dem Beschwerdeführer wurde mit Verfügung vom 2. Februar 2010 aufgefordert, dem Bundesgericht bis spätestens zum 23. Februar 2010 einen Kostenvorschuss von Fr. 2'000.-- einzuzahlen (act. 8). Weil der Kostenvorschuss nicht innert Frist einging, wurde dem Beschwerdeführer mit Verfügung vom 3. März die in Art. 62 Abs. 3 BGG vorgeschriebene Nachfrist bis zum 24. März 2010 angesetzt mit der Androhung, dass das Bundesgericht auf das Rechtsmittel nicht eintreten werde, wenn der Vorschuss nicht innerhalb der Nachfrist dem Konto der Gerichtskasse gutgeschrieben werde (act. 11). Wie dem entsprechenden Postbeleg zu entnehmen ist, hat der Beschwerdeführer den Betrag von Fr. 2'000.-- am 29. März 2010 bar auf der Post bezahlt. Die Zahlung ist damit verspätet. Auf die Beschwerde ist daher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