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1158/2021 vom 14. Juli 2022</w:t>
      </w:r>
    </w:p>
    <w:p>
      <w:r>
        <w:t>Bundesgericht, 2022-07-14, FR</w:t>
      </w:r>
    </w:p>
    <w:p>
      <w:r>
        <w:rPr>
          <w:b/>
        </w:rPr>
        <w:t xml:space="preserve">Quelle: </w:t>
      </w:r>
      <w:r>
        <w:t>https://mcp.opencaselaw.ch/entscheid/bger_6B_1158_2021</w:t>
      </w:r>
    </w:p>
    <w:p>
      <w:r>
        <w:t>FR: TF 6B 1158/2021 du 14 juillet 2022</w:t>
      </w:r>
    </w:p>
    <w:p>
      <w:r>
        <w:t>IT: TF 6B 1158/2021 del 14 luglio 2022</w:t>
      </w:r>
    </w:p>
    <w:p>
      <w:pPr>
        <w:pStyle w:val="Heading2"/>
      </w:pPr>
      <w:r>
        <w:t>Regeste</w:t>
      </w:r>
    </w:p>
    <w:p>
      <w:r>
        <w:t>Fixation de la peine (viol) | Droit pénal (en général)</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arrêt 6B_1308/2020 du 5 mai 2021 consid. 1 non publié in ATF 147 IV 241 ). Dans le canton de Vaud, l'art. 27 al. 2 de la loi du 19 mai 2009 sur le Ministère public (LMPu/VD; RS/VD 173.21) dispose que le procureur général ou ses adjoints sont seuls compétents pour saisir le Tribunal fédéral. En l'espèce, le mémoire de recours est signé par le Procureur général adjoint du canton du Vaud. Le recours est donc recevable.</w:t>
      </w:r>
    </w:p>
    <w:p>
      <w:r>
        <w:rPr>
          <w:b/>
        </w:rPr>
        <w:t>E. 2</w:t>
      </w:r>
    </w:p>
    <w:p>
      <w:r>
        <w:t>Le recourant conteste la quotité de la peine infligée, qu'il juge exagérément clémente et insuffisamment motivée. Il conclut au prononcé d'une peine privative de liberté de cinq ans, comme celle fixée en première instance.</w:t>
      </w:r>
    </w:p>
    <w:p>
      <w:r>
        <w:rPr>
          <w:b/>
        </w:rPr>
        <w:t>E. 2.1.1</w:t>
      </w:r>
    </w:p>
    <w:p>
      <w:r>
        <w:t>Selon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2.1.2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(arrêts 6B_1498/2020 du 29 novembre 2021 consid. 4.1.1 non publié in ATF 147 IV 505 ; cf. ATF 144 IV 313 consid. 1.2 p. 319; 136 IV 55 consid. 5.6 p. 61).</w:t>
      </w:r>
    </w:p>
    <w:p>
      <w:r>
        <w:rPr>
          <w:b/>
        </w:rPr>
        <w:t>E. 2.2</w:t>
      </w:r>
    </w:p>
    <w:p>
      <w:r>
        <w:t>La cour cantonale a considéré que les éléments retenus par les premiers juges étaient adéquats. Elle a ainsi relevé l'appréciation selon laquelle l'intimé avait profité de la situation de détresse et de la confiance de sa victime pour arriver à ses fins, précisant qu'il savait que la victime avait des problèmes psychologiques et physiques, ainsi que des soucis de logement. Le tribunal de première instance avait en outre retenu à charge que l'intimé n'avait eu de cesse de nier les faits incriminés et de changer de version, qu'il avait dénigré la victime, qu'il n'avait fait preuve d'aucun remords ni d'aucune prise de conscience et qu'il n'avait eu aucun mot en faveur de sa victime, qu'il avait accablée jusqu'à la fin des débats en bafouant sa dignité tout au long de l'instruction. Les antécédents de l'intimé ont également été pris en compte. A décharge, sa situation personnelle difficile a été évoquée. La cour cantonale a néanmoins considéré que la peine privative de liberté de cinq ans paraissait un peu trop lourde car, dans sa quotité, elle correspondait plutôt à la sanction d'un viol aggravé au sens de l' art. 190 al. 3 ou 200 CP . Or, aucune de ces circonstances aggravantes n'était réalisée en l'espèce. L'intimé avait usé de sa force physique sans cruauté particulière. Retenant que la culpabilité n'en restait pas moins lourde, elle a arrêté à quatre ans la quotité de la peine privative de liberté.</w:t>
      </w:r>
    </w:p>
    <w:p>
      <w:r>
        <w:rPr>
          <w:b/>
        </w:rPr>
        <w:t>E. 2.3</w:t>
      </w:r>
    </w:p>
    <w:p>
      <w:r>
        <w:t>La cour cantonale a exposé les éléments essentiels relatifs à l'acte et à l'auteur dont elle a tenu compte afin de fixer la peine. Cette motivation est suffisante dès lors que l'on peut constater les aspects qui ont été jugés pertinents et pris en considération dans un sens aggravant ou atténuant. Le simple fait que la motivation concernant la peine tienne en une vingtaine de lignes ne saurait emporter une violation de l' art. 50 CP . En tant que le recourant reproche à la cour cantonale d'avoir établi un parallèle avec des sanctions concernant d'autres infractions pour qualifier la culpabilité, d'avoir omis certains éléments pertinents pour la fixation de la peine et de s'être écartée de celle fixée en première instance, ses griefs relèvent de la critique relative à la fixation de la peine examinée infra .</w:t>
      </w:r>
    </w:p>
    <w:p>
      <w:r>
        <w:rPr>
          <w:b/>
        </w:rPr>
        <w:t>E. 2.4</w:t>
      </w:r>
    </w:p>
    <w:p>
      <w:r>
        <w:t>Le recourant se plaint du fait que la cour cantonale aurait qualifié la culpabilité de l'intimé de "lourde" plutôt que de "très lourde", contrairement aux juges de première instance, et aurait, à tort, tenu compte de l'absence de cruauté particulière ou d'action en commun, alors que ces éléments relèvent de l'infraction de viol aggravé, dont la fourchette est par nature différente. L'autorité d'appel dispose d'un plein pouvoir d'examen en fait et en droit (cf. art. 398 al. 2 CPP ), sur les points attaqués ( art. 404 al. 1 CPP ), en l'espèce notamment la quotité de la peine prononcée en première instance dans le cadre de l'appel de l'intimé. L'autorité précédente devait ainsi examiner librement, en sa qualité de juridiction d'appel, les critères posés par l' art. 47 CP et fixer la peine en conséquence. Elle n'avait pas à expliquer spécifiquement pour quels motifs elle prononçait une peine différente de celle ordonnée en première instance. S'il était certes peu approprié d'évoquer les sanctions prononcées en cas de viol aggravé (cf. art. 190 al. 3 et 200 CP ) en relevant que ces circonstances aggravantes n'étaient pas réalisées en l'espèce, la cour cantonale ne s'y est référée que pour qualifier la quotité de la peine arrêtée par le jugement de première instance d'un peu trop sévère. Elle n'y a pas fait référence pour fixer à nouveau la peine et n'en a pas tenu compte comme élément à décharge. Le recourant ne démontre ainsi pas que la cour cantonale se serait fondée sur des critères étrangers à l' art. 47 CP . Le recourant reproche également à la cour cantonale de ne pas avoir tenu compte du comportement de l'intimé lors des débats d'appel, au cours desquels il avait notamment prétendu que la plaignante l'avait violé, et non l'inverse, ses déclarations ayant engendré une crise de décompensation de la victime qui a dû quitter la salle d'audience. Or ces propos et réaction figurent expressément dans le jugement entrepris (cf. pp. 3 et 4) et la cour cantonale a tenu compte, en se référant au raisonnement des premiers juges, du fait que l'intimé n'avait eu de cesse de nier les faits incriminés, de dénigrer la plaignante, l'ayant accablée jusqu'à la fin des débats en bafouant sa dignité tout au long de l'instruction. Ces éléments pertinents pour fixer la quotité de la peine n'ont dès lors pas été omis, étant rappelé que le comportement spécifique de l'intimé lors des débats ne devait pas nécessairement apparaître dans le considérant relatif à la fixation de la peine, dès lors que le jugement forme un tout et qu'on admet que le juge garde à l'esprit l'ensemble des éléments qui y figurent (cf. notamment arrêts 6B_38/2021 du 14 février 2022 consid. 5.3.1; 6B_906/2019 du 7 mai 2020 consid. 2.3; 6B_111/2015 du 3 mars 2016 consid. 2.7, non publié in ATF 142 IV 196 ). La cour cantonale n'a pas ignoré un élément pertinent pour fixer la quotité de la peine mais l'a apprécié librement, ainsi qu'elle est autorisée à le faire. Au vu des éléments retenus à charge et à décharge dans les circonstances d'espèce, la fixation d'une peine privative de liberté de quatre ans, au dessous de la moitié de la fourchette légale, peut certes apparaître clémente, elle ne l'est toutefois pas exagérément au point de constituer un abus du large pouvoir d'appréciation accordé à la cour cantonale. Le grief de violation de l' art. 47 CP est infondé.</w:t>
      </w:r>
    </w:p>
    <w:p>
      <w:r>
        <w:rPr>
          <w:b/>
        </w:rPr>
        <w:t>E. 3</w:t>
      </w:r>
    </w:p>
    <w:p>
      <w:r>
        <w:t>Le recours doit être rejeté. Conformément à l' art. 66 al. 4 LTF , il sera statué sans frais. Il n'y a pas lieu d'allouer des dépens à l'intimé qui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