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6B_1158/2014 vom 21. April 2015</w:t>
      </w:r>
    </w:p>
    <w:p>
      <w:r>
        <w:t>Bundesgericht, 2015-04-21, DE</w:t>
      </w:r>
    </w:p>
    <w:p>
      <w:r>
        <w:rPr>
          <w:b/>
        </w:rPr>
        <w:t xml:space="preserve">Quelle: </w:t>
      </w:r>
      <w:r>
        <w:t>https://mcp.opencaselaw.ch/entscheid/bger_6B_1158_2014</w:t>
      </w:r>
    </w:p>
    <w:p>
      <w:r>
        <w:t>FR: TF 6B_1158/2014 du 21 avril 2015</w:t>
      </w:r>
    </w:p>
    <w:p>
      <w:r>
        <w:t>IT: TF 6B_1158/2014 del 21 aprile 2015</w:t>
      </w:r>
    </w:p>
    <w:p>
      <w:pPr>
        <w:pStyle w:val="Heading2"/>
      </w:pPr>
      <w:r>
        <w:t>Erwägungen</w:t>
      </w:r>
    </w:p>
    <w:p>
      <w:r>
        <w:rPr>
          <w:b/>
        </w:rPr>
        <w:t>E. 1.1</w:t>
      </w:r>
    </w:p>
    <w:p>
      <w:r>
        <w:t>Zur Strafzumessung erwägt die Vorinstanz, dass der Beschwerdeführer nach seinen eigenen Angaben planlos zugeschlagen und dabei seinen Kopf abgeschaltet habe. Dies begründe in Bezug auf die Tatkomponente ein mittelschweres Verschulden. Leicht bis mittelschwer falle zudem ins Gewicht, dass der Beschwerdeführer seine Kontrahenten als "Lederkuttenmongos" betitelt habe. Unabhängig davon, ob er ebenfalls zuvor provoziert oder gar geschlagen worden sei, wäre es für ihn ein Leichtes gewesen, der Konfrontation aus dem Weg zu gehen. Das Verschulden sei mittelschwer. In Bezug auf die Täterkomponenten würden die zahlreichen, teilweise einschlägigen Vorstrafen stark straferhöhend ins Gewicht fallen. Straferhöhend wirke auch die Uneinsichtigkeit des Beschwerdeführers, der auch im Berufungsverfahren noch geltend gemacht habe, er habe sich lediglich gegen die Angriffe verteidigen wollen. Nicht zu berücksichtigen sei, dass der Beschwerdeführer ein Kind habe, in einer Beziehung lebe und einer Arbeit nachgehe. Die Täterkomponente sei insgesamt mittelstark zu gewichten. Als dem Verschulden und den persönlichen Verhältnissen angemessen erscheine eine Strafe von 9 Monaten. Der Beschwerdeführer sei bereits mehrmals zu Geldstrafen und Bussen verurteilt worden. Diese hätten ihn offensichtlich nicht von der Begehung neuer Delikte abhalten können. Vom Regelfall der Geldstrafe sei abzuweichen, zumal diese Strafart spezialpräventiv ungenügend sei. Das erstinstanzliche Gericht habe zu Recht eine unbedingte Strafe ausgesprochen, was in der Berufung nicht angefochten worden sei. Auf die Frage des bedingten Strafvollzugs sei nicht weiter einzugehen.</w:t>
      </w:r>
    </w:p>
    <w:p>
      <w:r>
        <w:rPr>
          <w:b/>
        </w:rPr>
        <w:t>E. 1.2</w:t>
      </w:r>
    </w:p>
    <w:p>
      <w:r>
        <w:t>Der Beschwerdeführer rügt, die Vorinstanz benenne keine Einsatzstrafe. Sie konzentriere sich auf die Täterkomponente und lasse dabei sowohl die Tatkomponente als auch das Nachtatverhalten stark und zum Teil vollständig ausser Acht. Bloss aus seiner Vorgeschichte könne nicht der Schluss gezogen werden, dass eine Geldstrafe nicht resozialisierend wirken würde. Daraus, dass er seine Kontrahenten als "Lederkuttenmongos" betitelt habe, könne nicht geschlossen werden, dass sein Verschulden besonders schwer wiege. Zudem sei das Beschleunigungsgebot verletzt worden. Dem Tatverschulden entspreche eine Einsatzstrafe von 45 Tagessätzen. Insgesamt erscheine ein Geldstrafe von 60 Tagessätzen als angemessen.</w:t>
      </w:r>
    </w:p>
    <w:p>
      <w:r>
        <w:rPr>
          <w:b/>
        </w:rPr>
        <w:t>E. 1.3.1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Nach Art. 50 StGB hält das Gericht in der Begründung die für die Zumessung der Strafe erheblichen Umstände und deren Gewichtung fest. Das Gericht muss die Überlegungen, die es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134 IV 17 E. 2.1). Alleine einer besseren Begründung wegen hebt das Bundesgericht das angefochtene Urteil nicht auf, solange die Strafzumessung im Ergebnis bundesrechtskonform ist ( BGE 127 IV 101 E. 2c mit Hinweisen).</w:t>
      </w:r>
    </w:p>
    <w:p>
      <w:r>
        <w:rPr>
          <w:b/>
        </w:rPr>
        <w:t>E. 1.3.2</w:t>
      </w:r>
    </w:p>
    <w:p>
      <w:r>
        <w:t>Die Vorinstanz erklärte den Beschwerdeführer ausschliesslich des Raufhandels schuldig. Wegen derselben Auseinandersetzung vom 29. August 2010 erklärte die Staatsanwaltschaft Muri-Bremgarten mittels Strafbefehl weitere fünf Personen (von welchen vier vorbestraft) des Raufhandels schuldig. Diese wurden mit zum Teil bedingten Geldstrafen von 10 bzw. 20 Tagessätzen bestraft (kantonale Akten, act. 23, 39, 66, 78, 89, 326, 329, 347, 352, 357). Dem angefochtenen Urteil ist nicht zu entnehmen, dass der Tatbeitrag des Beschwerdeführers wesentlich schwerer wiegt als derjenige der anderen Beteiligten. Nachdem die Vorinstanz den Beschwerdeführer vom Vorwurf der versuchten schweren Körperverletzung freisprach, bestehen für das erheblich höhere Strafmass von 9 Monaten Freiheitsstrafe keine sachlichen Gründe. Ob der Beschwerdeführer von seinen Gegnern provoziert oder gar geschlagen worden sei, bevor er diese als "Lederkuttenmongos" betitelt habe, lässt die Vorinstanz offen. Weder diese Bezeichnung, noch dass der Beschwerdeführer planlos zugeschlagen habe, ist im Übrigen geeignet, einen derartigen Unterschied des Strafmasses zu rechtfertigen. Nicht zu berücksichtigen ist, dass es für den Beschwerdeführer ein Leichtes gewesen wäre, der Konfrontation aus dem Weg zu gehen. Die Teilnahme an einer tätlichen Auseinandersetzung begründet als solche erst den Tatbestand des Raufhandels und wirkt sich weder strafmindernd noch straferhöhend aus.</w:t>
      </w:r>
    </w:p>
    <w:p>
      <w:r>
        <w:t>Die Vorinstanz lässt sich bei der Strafzumessung von sachfremden Kriterien leiten und missbraucht das ihr zustehende Ermessen. Die Sache ist an diese zurückzuweisen, damit sie die Strafzumessung erneut vornimmt. Dabei sind - sowohl hinsichtlich der Tat- als auch der weitgehend ähnlichen Täterkomponenten - die gegen die anderen Beteiligten ausgesprochenen Strafen sowie die seit der Tatbegehung verstrichene Zeit zu berücksichtigen. Ob die Voraussetzungen für den bedingten Strafvollzug erfüllt sind, ist darzulegen. Es erübrigt sich, auf die weiteren Rügen des Beschwerdeführers einzugehen.</w:t>
      </w:r>
    </w:p>
    <w:p>
      <w:r>
        <w:rPr>
          <w:b/>
        </w:rPr>
        <w:t>E. 2</w:t>
      </w:r>
    </w:p>
    <w:p>
      <w:r>
        <w:t>Die Beschwerde ist gutzuheissen. Für das bundesgerichtliche Verfahren sind keine Kosten zu erheben ( Art. 66 Abs. 1 und 4 BGG ). Der Kanton Aargau hat dem Beschwerdeführer eine angemessene Parteientschädigung auszurichten ( Art. 68 Abs. 2 BGG ). Die Entschädigung ist praxisgemäss dem Rechtsvertreter auszurichten.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