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1156/2019 vom 7. Oktober 2019</w:t>
      </w:r>
    </w:p>
    <w:p>
      <w:r>
        <w:t>Bundesgericht, 2019-10-07, FR</w:t>
      </w:r>
    </w:p>
    <w:p>
      <w:r>
        <w:rPr>
          <w:b/>
        </w:rPr>
        <w:t xml:space="preserve">Quelle: </w:t>
      </w:r>
      <w:r>
        <w:t>https://mcp.opencaselaw.ch/entscheid/bger_6B_1156_2019</w:t>
      </w:r>
    </w:p>
    <w:p>
      <w:r>
        <w:t>FR: TF 6B 1156/2019 du 7 octobre 2019</w:t>
      </w:r>
    </w:p>
    <w:p>
      <w:r>
        <w:t>IT: TF 6B 1156/2019 del 7 ottobre 2019</w:t>
      </w:r>
    </w:p>
    <w:p>
      <w:pPr>
        <w:pStyle w:val="Heading2"/>
      </w:pPr>
      <w:r>
        <w:t>Regeste</w:t>
      </w:r>
    </w:p>
    <w:p>
      <w:r>
        <w:t>Irrecevabilité du recours en matière pénale (recours tardif)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le dernier jour du délai ( art. 48 al. 1 LTF ). En l'espèce, selon les indications fournies par La Poste (Suivi des envois business), le pli recommandé contenant la décision cantonale a été distribué au guichet le 2 septembre 2019. Le délai de 30 jours a commencé à courir le 3 septembre 2019 pour échoir le jeudi 3 octobre 2019. Le recours, remis à La Poste sous pli recommandé le 4 octobre 2019, ne l'a pas été dans le délai. La recourante a indiqué sur son écriture avoir " apport[é] en main propre au tribunal, une demande de prolongation pour [son] recours ". Point n'est toutefois besoin d'examiner plus avant cette allégation, les délais fixés par la loi (cf. art. 100 al. 1 LTF ) ne pouvant être prolongés ( art. 47 al. 1 LTF ). Au vu de ce qui précède, l'irrecevabilité est manifeste. Le recours doit être liquidé dans la procédure prévue par l' art. 108 al.1 let. a LTF .</w:t>
      </w:r>
    </w:p>
    <w:p>
      <w:r>
        <w:rPr>
          <w:b/>
        </w:rPr>
        <w:t>E. 2</w:t>
      </w:r>
    </w:p>
    <w:p>
      <w:r>
        <w:t>La recourante succombe. Elle supporte les frais de la procédure, qui seront fixés en tenant compte de sa situation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