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1156/2015 vom 27. Juli 2016</w:t>
      </w:r>
    </w:p>
    <w:p>
      <w:r>
        <w:t>Bundesgericht, 2016-07-27, FR</w:t>
      </w:r>
    </w:p>
    <w:p>
      <w:r>
        <w:rPr>
          <w:b/>
        </w:rPr>
        <w:t xml:space="preserve">Quelle: </w:t>
      </w:r>
      <w:r>
        <w:t>https://mcp.opencaselaw.ch/entscheid/bger_6B_1156_2015</w:t>
      </w:r>
    </w:p>
    <w:p>
      <w:r>
        <w:t>FR: TF 6B 1156/2015 du 27 juillet 2016</w:t>
      </w:r>
    </w:p>
    <w:p>
      <w:r>
        <w:t>IT: TF 6B 1156/2015 del 27 luglio 2016</w:t>
      </w:r>
    </w:p>
    <w:p>
      <w:pPr>
        <w:pStyle w:val="Heading2"/>
      </w:pPr>
      <w:r>
        <w:t>Regeste</w:t>
      </w:r>
    </w:p>
    <w:p>
      <w:r>
        <w:t>Qualité pour recourir (lésions corporelles graves par négligence) | Infractions</w:t>
      </w:r>
    </w:p>
    <w:p>
      <w:pPr>
        <w:pStyle w:val="Heading2"/>
      </w:pPr>
      <w:r>
        <w:t>Erwägungen</w:t>
      </w:r>
    </w:p>
    <w:p>
      <w:r>
        <w:rPr>
          <w:b/>
        </w:rPr>
        <w:t>E. 1</w:t>
      </w:r>
    </w:p>
    <w:p>
      <w:r>
        <w:t>Le Tribunal fédéral examine d'office et librement la recevabilité des recours qui lui sont soumis ( ATF 140 IV 57 consid. 2 p. 59).</w:t>
      </w:r>
    </w:p>
    <w:p>
      <w:r>
        <w:rPr>
          <w:b/>
        </w:rPr>
        <w:t>E. 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si la décision attaquée peut avoir des effets sur le jugement de ses prétentions civiles (art. 81 al. 1 let. b ch. 5 LTF). En cas d'acquittement du prévenu, cela suppose que la partie plaignante fasse valoir dans la procédure pénale, autant que cela pouvait raisonnablement être exigé d'elle, des prétentions civiles découlant de l'infraction ( ATF 137 IV 246 consid. 1.3.1 p. 247 s.), étant rappelé que les prétentions civiles peuvent être élevées au plus tard lors des plaidoiries devant le tribunal du premier degré ( art. 123 al. 2 CPP ; arrêts 6B_1166/2015 du 27 juin 2016 consid. 1; 6B_1238/2014 du 4 novembre 2015). Si la partie plaignante n'est pas à même de le faire, notamment parce que son dommage n'est pas encore ou pas entièrement établi, elle doit indiquer quelles sortes de prétentions civiles elle entend faire valoir et demander qu'elles lui soient allouées dans leur principe ( ATF 127 IV 185 consid. 1a p. 187; arrêt 6B_260/2009 du 30 juin 2009 consid. 2.2.1).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p. 188).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2.2</w:t>
      </w:r>
    </w:p>
    <w:p>
      <w:r>
        <w:t>En l'espèce, la procédure pénale a été menée jusqu'au stade du jugement, ce qui aurait dû permettre à la recourante d'articuler ses prétentions civiles. Elle s'est cependant limitée à demander la réserve de ses droits. Ce faisant, elle n'a pas pris de conclusions civiles sur le fond. En l'absence de toute précision, on ne discerne pas ce qui l'empêchait de quantifier son préjudice six ans après les faits. Dans tous les cas, elle devait au moins faire valoir ce préjudice, indiquer quelle prétention civile elle entendait élever et justifier de son impossibilité de chiffrer cette prétention. Faute d'avoir satisfait à ces conditions, la recourante n'a pas qualité pour recourir sur la base de l'art. 81 al. 1 let. b ch. 5 LTF.</w:t>
      </w:r>
    </w:p>
    <w:p>
      <w:r>
        <w:rPr>
          <w:b/>
        </w:rPr>
        <w:t>E. 3.1</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3.2</w:t>
      </w:r>
    </w:p>
    <w:p>
      <w:r>
        <w:t>Invoquant la violation de l' art. 189 let. b CPP , la recourante fait grief à la cour cantonale de ne pas avoir donné suite à sa requête tendant à la mise en place d'une surexpertise. Elle soutient que les deux rapports d'expertise versés au dossier sont contradictoires et ne permettent pas de se forger une opinion définitive sur les faits pertinents de la cause.</w:t>
      </w:r>
    </w:p>
    <w:p>
      <w:r>
        <w:rPr>
          <w:b/>
        </w:rPr>
        <w:t>E. 3.3</w:t>
      </w:r>
    </w:p>
    <w:p>
      <w:r>
        <w:t>Par décision présidentielle du 17 juillet 2015, à laquelle se réfère le jugement entrepris, la cour cantonale a constaté que la première expertise envisageait, pour l'essentiel, comme hypothèse de travail la " manipulation " de la nuque de la recourante accompagnée de craquements, alors que la seconde avait, pour sa part, principalement porté sur les conséquences possibles de la deuxième hypothèse de travail, soit la " mobilisation " de la nuque décrite par l'intimé. Elle a rejeté la demande de surexpertise formulée par la recourante au motif que les éléments de preuve à disposition étaient suffisants pour lui permettre d'apprécier correctement les faits reprochés à A.________ et d'en tirer les conclusions utiles, après avoir déterminé notamment quelle technique chiropratique - manipulation ou mobilisation - A.________ avait pratiqué sur la recourante. L'autorité précédente a, de la sorte, procédé à l'appréciation des preuves (cf. MARIANNE HEER, in Basler Kommentar, Schweizerische Strafprozessordnung, 2e éd. 2014, n° 17 ad art. 189; JOËLLE VUILLE, in Commentaire romand, Code de procédure pénale suisse, 2011, n° 20-21 ad art. 189; ANDREAS DONATSCH, in Kommentar zur Schweizerischen Strafprozessordnung, Donatsch/Hansjakob/Lieber, 2e éd. 2014, n° 26 ad art. 189). La recourante ne peut remettre cette appréciation en cause sans contester la décision sur le fond, ce qu'elle n'est pas autorisée à faire (consid. 3.1 supra). Son grief est, partant, irrecevable.</w:t>
      </w:r>
    </w:p>
    <w:p>
      <w:r>
        <w:rPr>
          <w:b/>
        </w:rPr>
        <w:t>E. 4</w:t>
      </w:r>
    </w:p>
    <w:p>
      <w:r>
        <w:t>L'hypothèse visée à l'art. 81 al. 1 let. b ch. 6 LTF n'entre pas en considération, la recourante n'invoquant aucune violation de son droit de porter plainte.</w:t>
      </w:r>
    </w:p>
    <w:p>
      <w:r>
        <w:rPr>
          <w:b/>
        </w:rPr>
        <w:t>E. 5</w:t>
      </w:r>
    </w:p>
    <w:p>
      <w:r>
        <w:t>Le recours se révèle irrecevable. La recourante, qui succombe, devra supporter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