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6B_1153/2021 vom 29. März 2023</w:t>
      </w:r>
    </w:p>
    <w:p>
      <w:r>
        <w:t>Bundesgericht, 2023-03-29, DE</w:t>
      </w:r>
    </w:p>
    <w:p>
      <w:r>
        <w:rPr>
          <w:b/>
        </w:rPr>
        <w:t xml:space="preserve">Quelle: </w:t>
      </w:r>
      <w:r>
        <w:t>https://mcp.opencaselaw.ch/entscheid/bger_6B_1153_2021</w:t>
      </w:r>
    </w:p>
    <w:p>
      <w:r>
        <w:t>FR: TF 6B_1153/2021 du 29 mars 2023</w:t>
      </w:r>
    </w:p>
    <w:p>
      <w:r>
        <w:t>IT: TF 6B_1153/2021 del 29 marzo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Beschwerde ist gutzuheissen, soweit auf sie eingetreten werden kann. Das angefochtene Urteil ist aufzuheben und die Sache ist zur Begründung hinsichtlich der auszusprechenden Strafart an die Vorinstanz zurückzuweisen.</w:t>
      </w:r>
    </w:p>
    <w:p>
      <w:r>
        <w:t>Die Gerichtskosten werden in der Regel der unterliegenden Partei auferlegt ( Art. 66 Abs. 1 BGG ). Bei Rückweisung nach Art. 112 Abs. 3 BGG werden die Kosten formell nicht nach dem Ausgang des Verfahrens, sondern nach dem Verursacherprinzip verlegt (vgl. Urteil 6B_310/2022, 6B_311/2022 vom 8. Dezember 2022 E. 6.3 mit Hinweis). Entsprechend sind für das bundesgerichtliche Verfahren keine Gerichtskosten zu erheben ( Art. 66 Abs. 1 und 4 BGG ). Der Kanton Aargau hat den Beschwerdeführer für das bundesgerichtliche Verfahren angemessen zu entschädigen ( Art. 68 Abs. 1 und 2 BGG ). Die Entschädigung ist praxisgemäss seiner Rechtsvertreterin auszurichten. Damit wird das Gesuch des Beschwerdeführers um unentgeltliche Rechtspflege und Verbeiständung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